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7DF1" w:rsidRDefault="00F67DF1" w:rsidP="00F67DF1">
      <w:pPr>
        <w:rPr>
          <w:noProof/>
          <w:lang w:eastAsia="en-AU"/>
        </w:rPr>
      </w:pPr>
      <w:r>
        <w:rPr>
          <w:noProof/>
          <w:lang w:eastAsia="en-AU"/>
        </w:rPr>
        <w:drawing>
          <wp:inline distT="0" distB="0" distL="0" distR="0">
            <wp:extent cx="5731510" cy="4298633"/>
            <wp:effectExtent l="19050" t="0" r="2540" b="0"/>
            <wp:docPr id="3" name="Picture 1" descr="C:\Users\Iolanthe\Pictures\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lanthe\Pictures\Background.jpg"/>
                    <pic:cNvPicPr>
                      <a:picLocks noChangeAspect="1" noChangeArrowheads="1"/>
                    </pic:cNvPicPr>
                  </pic:nvPicPr>
                  <pic:blipFill>
                    <a:blip r:embed="rId8" cstate="print"/>
                    <a:srcRect/>
                    <a:stretch>
                      <a:fillRect/>
                    </a:stretch>
                  </pic:blipFill>
                  <pic:spPr bwMode="auto">
                    <a:xfrm>
                      <a:off x="0" y="0"/>
                      <a:ext cx="5731510" cy="4298633"/>
                    </a:xfrm>
                    <a:prstGeom prst="rect">
                      <a:avLst/>
                    </a:prstGeom>
                    <a:noFill/>
                    <a:ln w="9525">
                      <a:noFill/>
                      <a:miter lim="800000"/>
                      <a:headEnd/>
                      <a:tailEnd/>
                    </a:ln>
                  </pic:spPr>
                </pic:pic>
              </a:graphicData>
            </a:graphic>
          </wp:inline>
        </w:drawing>
      </w:r>
    </w:p>
    <w:p w:rsidR="00F67DF1" w:rsidRPr="00E244C3" w:rsidRDefault="00F67DF1" w:rsidP="00F67DF1">
      <w:pPr>
        <w:spacing w:after="0"/>
        <w:jc w:val="center"/>
        <w:rPr>
          <w:rFonts w:ascii="Segoe Print" w:eastAsia="Times New Roman" w:hAnsi="Segoe Print" w:cs="Segoe UI"/>
          <w:b/>
          <w:color w:val="632423" w:themeColor="accent2" w:themeShade="80"/>
          <w:sz w:val="56"/>
          <w:szCs w:val="56"/>
          <w:lang w:eastAsia="en-AU"/>
        </w:rPr>
      </w:pPr>
    </w:p>
    <w:p w:rsidR="00F67DF1" w:rsidRPr="00E244C3" w:rsidRDefault="00436FAC" w:rsidP="00F67DF1">
      <w:pPr>
        <w:pBdr>
          <w:top w:val="threeDEmboss" w:sz="24" w:space="1" w:color="632423" w:themeColor="accent2" w:themeShade="80"/>
          <w:left w:val="threeDEmboss" w:sz="24" w:space="4" w:color="632423" w:themeColor="accent2" w:themeShade="80"/>
          <w:bottom w:val="threeDEmboss" w:sz="24" w:space="1" w:color="632423" w:themeColor="accent2" w:themeShade="80"/>
          <w:right w:val="threeDEmboss" w:sz="24" w:space="4" w:color="632423" w:themeColor="accent2" w:themeShade="80"/>
        </w:pBdr>
        <w:spacing w:after="0"/>
        <w:jc w:val="center"/>
        <w:rPr>
          <w:rFonts w:ascii="Segoe Print" w:eastAsia="Times New Roman" w:hAnsi="Segoe Print" w:cs="Segoe UI"/>
          <w:b/>
          <w:color w:val="632423" w:themeColor="accent2" w:themeShade="80"/>
          <w:sz w:val="44"/>
          <w:szCs w:val="44"/>
          <w:lang w:eastAsia="en-AU"/>
        </w:rPr>
      </w:pPr>
      <w:r>
        <w:rPr>
          <w:rFonts w:ascii="Segoe Print" w:eastAsia="Times New Roman" w:hAnsi="Segoe Print" w:cs="Segoe UI"/>
          <w:b/>
          <w:color w:val="632423" w:themeColor="accent2" w:themeShade="80"/>
          <w:sz w:val="44"/>
          <w:szCs w:val="44"/>
          <w:lang w:eastAsia="en-AU"/>
        </w:rPr>
        <w:t>North Australian Remote BNH Training</w:t>
      </w:r>
    </w:p>
    <w:p w:rsidR="00F67DF1" w:rsidRPr="00E244C3" w:rsidRDefault="00F67DF1" w:rsidP="00F67DF1">
      <w:pPr>
        <w:pBdr>
          <w:top w:val="threeDEmboss" w:sz="24" w:space="1" w:color="632423" w:themeColor="accent2" w:themeShade="80"/>
          <w:left w:val="threeDEmboss" w:sz="24" w:space="4" w:color="632423" w:themeColor="accent2" w:themeShade="80"/>
          <w:bottom w:val="threeDEmboss" w:sz="24" w:space="1" w:color="632423" w:themeColor="accent2" w:themeShade="80"/>
          <w:right w:val="threeDEmboss" w:sz="24" w:space="4" w:color="632423" w:themeColor="accent2" w:themeShade="80"/>
        </w:pBdr>
        <w:spacing w:after="0"/>
        <w:jc w:val="center"/>
        <w:rPr>
          <w:rFonts w:ascii="Segoe Print" w:eastAsia="Times New Roman" w:hAnsi="Segoe Print" w:cs="Segoe UI"/>
          <w:b/>
          <w:color w:val="632423" w:themeColor="accent2" w:themeShade="80"/>
          <w:sz w:val="44"/>
          <w:szCs w:val="44"/>
          <w:lang w:eastAsia="en-AU"/>
        </w:rPr>
      </w:pPr>
      <w:r w:rsidRPr="00E244C3">
        <w:rPr>
          <w:rFonts w:ascii="Segoe Print" w:eastAsia="Times New Roman" w:hAnsi="Segoe Print" w:cs="Segoe UI"/>
          <w:b/>
          <w:color w:val="632423" w:themeColor="accent2" w:themeShade="80"/>
          <w:sz w:val="44"/>
          <w:szCs w:val="44"/>
          <w:lang w:eastAsia="en-AU"/>
        </w:rPr>
        <w:t>TRAINING MANUAL</w:t>
      </w:r>
    </w:p>
    <w:p w:rsidR="00F67DF1" w:rsidRDefault="00F67DF1" w:rsidP="00F67DF1">
      <w:pPr>
        <w:spacing w:after="0"/>
        <w:jc w:val="center"/>
        <w:rPr>
          <w:rFonts w:ascii="Segoe Print" w:eastAsia="Times New Roman" w:hAnsi="Segoe Print" w:cs="Segoe UI"/>
          <w:b/>
          <w:color w:val="632423" w:themeColor="accent2" w:themeShade="80"/>
          <w:sz w:val="40"/>
          <w:szCs w:val="40"/>
          <w:lang w:eastAsia="en-AU"/>
        </w:rPr>
      </w:pPr>
    </w:p>
    <w:p w:rsidR="00F67DF1" w:rsidRPr="00135958" w:rsidRDefault="00F67DF1" w:rsidP="00F67DF1">
      <w:pPr>
        <w:spacing w:after="0"/>
        <w:jc w:val="center"/>
        <w:rPr>
          <w:rFonts w:ascii="Segoe Print" w:eastAsia="Times New Roman" w:hAnsi="Segoe Print" w:cs="Segoe UI"/>
          <w:b/>
          <w:color w:val="632423" w:themeColor="accent2" w:themeShade="80"/>
          <w:sz w:val="40"/>
          <w:szCs w:val="40"/>
          <w:lang w:eastAsia="en-AU"/>
        </w:rPr>
      </w:pPr>
    </w:p>
    <w:p w:rsidR="00F67DF1" w:rsidRDefault="00F67DF1" w:rsidP="00F67DF1">
      <w:pPr>
        <w:spacing w:after="0"/>
        <w:rPr>
          <w:rFonts w:eastAsia="Times New Roman" w:cs="Segoe UI"/>
          <w:b/>
          <w:sz w:val="24"/>
          <w:szCs w:val="24"/>
          <w:lang w:eastAsia="en-AU"/>
        </w:rPr>
      </w:pPr>
      <w:r>
        <w:rPr>
          <w:rFonts w:eastAsia="Times New Roman" w:cs="Segoe UI"/>
          <w:b/>
          <w:sz w:val="24"/>
          <w:szCs w:val="24"/>
          <w:lang w:eastAsia="en-AU"/>
        </w:rPr>
        <w:tab/>
      </w:r>
      <w:r>
        <w:rPr>
          <w:rFonts w:eastAsia="Times New Roman" w:cs="Segoe UI"/>
          <w:b/>
          <w:sz w:val="24"/>
          <w:szCs w:val="24"/>
          <w:lang w:eastAsia="en-AU"/>
        </w:rPr>
        <w:tab/>
      </w:r>
      <w:r>
        <w:rPr>
          <w:rFonts w:eastAsia="Times New Roman" w:cs="Segoe UI"/>
          <w:b/>
          <w:sz w:val="24"/>
          <w:szCs w:val="24"/>
          <w:lang w:eastAsia="en-AU"/>
        </w:rPr>
        <w:tab/>
      </w:r>
      <w:r>
        <w:rPr>
          <w:rFonts w:eastAsia="Times New Roman" w:cs="Segoe UI"/>
          <w:b/>
          <w:sz w:val="24"/>
          <w:szCs w:val="24"/>
          <w:lang w:eastAsia="en-AU"/>
        </w:rPr>
        <w:tab/>
      </w:r>
      <w:r>
        <w:rPr>
          <w:rFonts w:eastAsia="Times New Roman" w:cs="Segoe UI"/>
          <w:b/>
          <w:sz w:val="24"/>
          <w:szCs w:val="24"/>
          <w:lang w:eastAsia="en-AU"/>
        </w:rPr>
        <w:tab/>
      </w:r>
    </w:p>
    <w:p w:rsidR="00F67DF1" w:rsidRPr="00637032" w:rsidRDefault="00436FAC" w:rsidP="00F67DF1">
      <w:pPr>
        <w:rPr>
          <w:rFonts w:ascii="Segoe Print" w:hAnsi="Segoe Print"/>
          <w:b/>
          <w:color w:val="984806" w:themeColor="accent6" w:themeShade="80"/>
          <w:sz w:val="36"/>
          <w:szCs w:val="36"/>
        </w:rPr>
      </w:pPr>
      <w:r w:rsidRPr="002B046E">
        <w:rPr>
          <w:b/>
          <w:noProof/>
          <w:lang w:eastAsia="en-AU"/>
        </w:rPr>
        <w:drawing>
          <wp:anchor distT="0" distB="0" distL="114300" distR="114300" simplePos="0" relativeHeight="251677696" behindDoc="1" locked="0" layoutInCell="1" allowOverlap="1" wp14:anchorId="761B7E34" wp14:editId="17C59418">
            <wp:simplePos x="0" y="0"/>
            <wp:positionH relativeFrom="page">
              <wp:posOffset>5118100</wp:posOffset>
            </wp:positionH>
            <wp:positionV relativeFrom="page">
              <wp:posOffset>8910955</wp:posOffset>
            </wp:positionV>
            <wp:extent cx="1840723" cy="625151"/>
            <wp:effectExtent l="0" t="0" r="1270" b="0"/>
            <wp:wrapNone/>
            <wp:docPr id="6" name="Picture 6" descr="bnhcrc-report-logo-nocut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hcrc-report-logo-nocutout.png"/>
                    <pic:cNvPicPr/>
                  </pic:nvPicPr>
                  <pic:blipFill>
                    <a:blip r:embed="rId9"/>
                    <a:stretch>
                      <a:fillRect/>
                    </a:stretch>
                  </pic:blipFill>
                  <pic:spPr>
                    <a:xfrm>
                      <a:off x="0" y="0"/>
                      <a:ext cx="1840723" cy="625151"/>
                    </a:xfrm>
                    <a:prstGeom prst="rect">
                      <a:avLst/>
                    </a:prstGeom>
                  </pic:spPr>
                </pic:pic>
              </a:graphicData>
            </a:graphic>
          </wp:anchor>
        </w:drawing>
      </w:r>
      <w:r w:rsidRPr="008A2EBC">
        <w:rPr>
          <w:rFonts w:eastAsia="Times New Roman" w:cs="Segoe UI"/>
          <w:b/>
          <w:noProof/>
          <w:sz w:val="24"/>
          <w:szCs w:val="24"/>
          <w:lang w:eastAsia="en-AU"/>
        </w:rPr>
        <w:drawing>
          <wp:anchor distT="0" distB="0" distL="114300" distR="114300" simplePos="0" relativeHeight="251657216" behindDoc="0" locked="0" layoutInCell="1" allowOverlap="1">
            <wp:simplePos x="0" y="0"/>
            <wp:positionH relativeFrom="column">
              <wp:posOffset>-98425</wp:posOffset>
            </wp:positionH>
            <wp:positionV relativeFrom="paragraph">
              <wp:posOffset>272415</wp:posOffset>
            </wp:positionV>
            <wp:extent cx="2213610" cy="747395"/>
            <wp:effectExtent l="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32" name="Picture 3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3610" cy="747395"/>
                    </a:xfrm>
                    <a:prstGeom prst="rect">
                      <a:avLst/>
                    </a:prstGeom>
                    <a:noFill/>
                    <a:ln w="9525">
                      <a:noFill/>
                      <a:miter lim="800000"/>
                      <a:headEnd/>
                      <a:tailEnd/>
                    </a:ln>
                    <a:effectLst/>
                  </pic:spPr>
                </pic:pic>
              </a:graphicData>
            </a:graphic>
          </wp:anchor>
        </w:drawing>
      </w:r>
      <w:r w:rsidR="00F67DF1">
        <w:br w:type="page"/>
      </w:r>
      <w:r w:rsidR="00F67DF1" w:rsidRPr="00637032">
        <w:rPr>
          <w:rFonts w:ascii="Segoe Print" w:hAnsi="Segoe Print"/>
          <w:b/>
          <w:color w:val="984806" w:themeColor="accent6" w:themeShade="80"/>
          <w:sz w:val="36"/>
          <w:szCs w:val="36"/>
        </w:rPr>
        <w:lastRenderedPageBreak/>
        <w:t>CONTENTS</w:t>
      </w:r>
    </w:p>
    <w:p w:rsidR="00A622A1" w:rsidRDefault="00A622A1">
      <w:pPr>
        <w:pStyle w:val="TOC1"/>
        <w:rPr>
          <w:rFonts w:eastAsiaTheme="minorEastAsia"/>
          <w:b w:val="0"/>
          <w:sz w:val="24"/>
          <w:szCs w:val="24"/>
          <w:lang w:eastAsia="en-GB"/>
        </w:rPr>
      </w:pPr>
      <w:r>
        <w:fldChar w:fldCharType="begin"/>
      </w:r>
      <w:r>
        <w:instrText xml:space="preserve"> TOC \o "1-3" \h \z \u </w:instrText>
      </w:r>
      <w:r>
        <w:fldChar w:fldCharType="separate"/>
      </w:r>
      <w:hyperlink w:anchor="_Toc40268210" w:history="1">
        <w:r w:rsidRPr="00BA3B72">
          <w:rPr>
            <w:rStyle w:val="Hyperlink"/>
          </w:rPr>
          <w:t>PURPOSE OF THIS MANUAL</w:t>
        </w:r>
        <w:r>
          <w:rPr>
            <w:webHidden/>
          </w:rPr>
          <w:tab/>
        </w:r>
        <w:r>
          <w:rPr>
            <w:webHidden/>
          </w:rPr>
          <w:fldChar w:fldCharType="begin"/>
        </w:r>
        <w:r>
          <w:rPr>
            <w:webHidden/>
          </w:rPr>
          <w:instrText xml:space="preserve"> PAGEREF _Toc40268210 \h </w:instrText>
        </w:r>
        <w:r>
          <w:rPr>
            <w:webHidden/>
          </w:rPr>
        </w:r>
        <w:r>
          <w:rPr>
            <w:webHidden/>
          </w:rPr>
          <w:fldChar w:fldCharType="separate"/>
        </w:r>
        <w:r>
          <w:rPr>
            <w:webHidden/>
          </w:rPr>
          <w:t>3</w:t>
        </w:r>
        <w:r>
          <w:rPr>
            <w:webHidden/>
          </w:rPr>
          <w:fldChar w:fldCharType="end"/>
        </w:r>
      </w:hyperlink>
    </w:p>
    <w:p w:rsidR="00A622A1" w:rsidRDefault="00A622A1">
      <w:pPr>
        <w:pStyle w:val="TOC2"/>
        <w:tabs>
          <w:tab w:val="right" w:leader="dot" w:pos="9016"/>
        </w:tabs>
        <w:rPr>
          <w:rFonts w:eastAsiaTheme="minorEastAsia"/>
          <w:noProof/>
          <w:sz w:val="24"/>
          <w:szCs w:val="24"/>
          <w:lang w:eastAsia="en-GB"/>
        </w:rPr>
      </w:pPr>
      <w:hyperlink w:anchor="_Toc40268211" w:history="1">
        <w:r w:rsidRPr="00BA3B72">
          <w:rPr>
            <w:rStyle w:val="Hyperlink"/>
            <w:noProof/>
          </w:rPr>
          <w:t>INTRODUCTION</w:t>
        </w:r>
        <w:r>
          <w:rPr>
            <w:noProof/>
            <w:webHidden/>
          </w:rPr>
          <w:tab/>
        </w:r>
        <w:r>
          <w:rPr>
            <w:noProof/>
            <w:webHidden/>
          </w:rPr>
          <w:fldChar w:fldCharType="begin"/>
        </w:r>
        <w:r>
          <w:rPr>
            <w:noProof/>
            <w:webHidden/>
          </w:rPr>
          <w:instrText xml:space="preserve"> PAGEREF _Toc40268211 \h </w:instrText>
        </w:r>
        <w:r>
          <w:rPr>
            <w:noProof/>
            <w:webHidden/>
          </w:rPr>
        </w:r>
        <w:r>
          <w:rPr>
            <w:noProof/>
            <w:webHidden/>
          </w:rPr>
          <w:fldChar w:fldCharType="separate"/>
        </w:r>
        <w:r>
          <w:rPr>
            <w:noProof/>
            <w:webHidden/>
          </w:rPr>
          <w:t>3</w:t>
        </w:r>
        <w:r>
          <w:rPr>
            <w:noProof/>
            <w:webHidden/>
          </w:rPr>
          <w:fldChar w:fldCharType="end"/>
        </w:r>
      </w:hyperlink>
    </w:p>
    <w:p w:rsidR="00A622A1" w:rsidRDefault="00A622A1">
      <w:pPr>
        <w:pStyle w:val="TOC2"/>
        <w:tabs>
          <w:tab w:val="right" w:leader="dot" w:pos="9016"/>
        </w:tabs>
        <w:rPr>
          <w:rFonts w:eastAsiaTheme="minorEastAsia"/>
          <w:noProof/>
          <w:sz w:val="24"/>
          <w:szCs w:val="24"/>
          <w:lang w:eastAsia="en-GB"/>
        </w:rPr>
      </w:pPr>
      <w:hyperlink w:anchor="_Toc40268212" w:history="1">
        <w:r w:rsidRPr="00BA3B72">
          <w:rPr>
            <w:rStyle w:val="Hyperlink"/>
            <w:noProof/>
          </w:rPr>
          <w:t>DEVELOPING THE TRAINING MATERIALS</w:t>
        </w:r>
        <w:r>
          <w:rPr>
            <w:noProof/>
            <w:webHidden/>
          </w:rPr>
          <w:tab/>
        </w:r>
        <w:r>
          <w:rPr>
            <w:noProof/>
            <w:webHidden/>
          </w:rPr>
          <w:fldChar w:fldCharType="begin"/>
        </w:r>
        <w:r>
          <w:rPr>
            <w:noProof/>
            <w:webHidden/>
          </w:rPr>
          <w:instrText xml:space="preserve"> PAGEREF _Toc40268212 \h </w:instrText>
        </w:r>
        <w:r>
          <w:rPr>
            <w:noProof/>
            <w:webHidden/>
          </w:rPr>
        </w:r>
        <w:r>
          <w:rPr>
            <w:noProof/>
            <w:webHidden/>
          </w:rPr>
          <w:fldChar w:fldCharType="separate"/>
        </w:r>
        <w:r>
          <w:rPr>
            <w:noProof/>
            <w:webHidden/>
          </w:rPr>
          <w:t>3</w:t>
        </w:r>
        <w:r>
          <w:rPr>
            <w:noProof/>
            <w:webHidden/>
          </w:rPr>
          <w:fldChar w:fldCharType="end"/>
        </w:r>
      </w:hyperlink>
    </w:p>
    <w:p w:rsidR="00A622A1" w:rsidRDefault="00A622A1">
      <w:pPr>
        <w:pStyle w:val="TOC2"/>
        <w:tabs>
          <w:tab w:val="right" w:leader="dot" w:pos="9016"/>
        </w:tabs>
        <w:rPr>
          <w:rFonts w:eastAsiaTheme="minorEastAsia"/>
          <w:noProof/>
          <w:sz w:val="24"/>
          <w:szCs w:val="24"/>
          <w:lang w:eastAsia="en-GB"/>
        </w:rPr>
      </w:pPr>
      <w:hyperlink w:anchor="_Toc40268213" w:history="1">
        <w:r w:rsidRPr="00BA3B72">
          <w:rPr>
            <w:rStyle w:val="Hyperlink"/>
            <w:noProof/>
          </w:rPr>
          <w:t>PROJECT BACKGROUND</w:t>
        </w:r>
        <w:r>
          <w:rPr>
            <w:noProof/>
            <w:webHidden/>
          </w:rPr>
          <w:tab/>
        </w:r>
        <w:r>
          <w:rPr>
            <w:noProof/>
            <w:webHidden/>
          </w:rPr>
          <w:fldChar w:fldCharType="begin"/>
        </w:r>
        <w:r>
          <w:rPr>
            <w:noProof/>
            <w:webHidden/>
          </w:rPr>
          <w:instrText xml:space="preserve"> PAGEREF _Toc40268213 \h </w:instrText>
        </w:r>
        <w:r>
          <w:rPr>
            <w:noProof/>
            <w:webHidden/>
          </w:rPr>
        </w:r>
        <w:r>
          <w:rPr>
            <w:noProof/>
            <w:webHidden/>
          </w:rPr>
          <w:fldChar w:fldCharType="separate"/>
        </w:r>
        <w:r>
          <w:rPr>
            <w:noProof/>
            <w:webHidden/>
          </w:rPr>
          <w:t>4</w:t>
        </w:r>
        <w:r>
          <w:rPr>
            <w:noProof/>
            <w:webHidden/>
          </w:rPr>
          <w:fldChar w:fldCharType="end"/>
        </w:r>
      </w:hyperlink>
    </w:p>
    <w:p w:rsidR="00A622A1" w:rsidRDefault="00A622A1">
      <w:pPr>
        <w:pStyle w:val="TOC2"/>
        <w:tabs>
          <w:tab w:val="right" w:leader="dot" w:pos="9016"/>
        </w:tabs>
        <w:rPr>
          <w:rFonts w:eastAsiaTheme="minorEastAsia"/>
          <w:noProof/>
          <w:sz w:val="24"/>
          <w:szCs w:val="24"/>
          <w:lang w:eastAsia="en-GB"/>
        </w:rPr>
      </w:pPr>
      <w:hyperlink w:anchor="_Toc40268214" w:history="1">
        <w:r w:rsidRPr="00BA3B72">
          <w:rPr>
            <w:rStyle w:val="Hyperlink"/>
            <w:noProof/>
          </w:rPr>
          <w:t>RATIONALE</w:t>
        </w:r>
        <w:r>
          <w:rPr>
            <w:noProof/>
            <w:webHidden/>
          </w:rPr>
          <w:tab/>
        </w:r>
        <w:r>
          <w:rPr>
            <w:noProof/>
            <w:webHidden/>
          </w:rPr>
          <w:fldChar w:fldCharType="begin"/>
        </w:r>
        <w:r>
          <w:rPr>
            <w:noProof/>
            <w:webHidden/>
          </w:rPr>
          <w:instrText xml:space="preserve"> PAGEREF _Toc40268214 \h </w:instrText>
        </w:r>
        <w:r>
          <w:rPr>
            <w:noProof/>
            <w:webHidden/>
          </w:rPr>
        </w:r>
        <w:r>
          <w:rPr>
            <w:noProof/>
            <w:webHidden/>
          </w:rPr>
          <w:fldChar w:fldCharType="separate"/>
        </w:r>
        <w:r>
          <w:rPr>
            <w:noProof/>
            <w:webHidden/>
          </w:rPr>
          <w:t>4</w:t>
        </w:r>
        <w:r>
          <w:rPr>
            <w:noProof/>
            <w:webHidden/>
          </w:rPr>
          <w:fldChar w:fldCharType="end"/>
        </w:r>
      </w:hyperlink>
    </w:p>
    <w:p w:rsidR="00A622A1" w:rsidRDefault="00A622A1">
      <w:pPr>
        <w:pStyle w:val="TOC1"/>
        <w:rPr>
          <w:rFonts w:eastAsiaTheme="minorEastAsia"/>
          <w:b w:val="0"/>
          <w:sz w:val="24"/>
          <w:szCs w:val="24"/>
          <w:lang w:eastAsia="en-GB"/>
        </w:rPr>
      </w:pPr>
      <w:hyperlink w:anchor="_Toc40268215" w:history="1">
        <w:r w:rsidRPr="00BA3B72">
          <w:rPr>
            <w:rStyle w:val="Hyperlink"/>
          </w:rPr>
          <w:t>TRAINING DELIVERY</w:t>
        </w:r>
        <w:r>
          <w:rPr>
            <w:webHidden/>
          </w:rPr>
          <w:tab/>
        </w:r>
        <w:r>
          <w:rPr>
            <w:webHidden/>
          </w:rPr>
          <w:fldChar w:fldCharType="begin"/>
        </w:r>
        <w:r>
          <w:rPr>
            <w:webHidden/>
          </w:rPr>
          <w:instrText xml:space="preserve"> PAGEREF _Toc40268215 \h </w:instrText>
        </w:r>
        <w:r>
          <w:rPr>
            <w:webHidden/>
          </w:rPr>
        </w:r>
        <w:r>
          <w:rPr>
            <w:webHidden/>
          </w:rPr>
          <w:fldChar w:fldCharType="separate"/>
        </w:r>
        <w:r>
          <w:rPr>
            <w:webHidden/>
          </w:rPr>
          <w:t>5</w:t>
        </w:r>
        <w:r>
          <w:rPr>
            <w:webHidden/>
          </w:rPr>
          <w:fldChar w:fldCharType="end"/>
        </w:r>
      </w:hyperlink>
    </w:p>
    <w:p w:rsidR="00A622A1" w:rsidRDefault="00A622A1">
      <w:pPr>
        <w:pStyle w:val="TOC2"/>
        <w:tabs>
          <w:tab w:val="right" w:leader="dot" w:pos="9016"/>
        </w:tabs>
        <w:rPr>
          <w:rFonts w:eastAsiaTheme="minorEastAsia"/>
          <w:noProof/>
          <w:sz w:val="24"/>
          <w:szCs w:val="24"/>
          <w:lang w:eastAsia="en-GB"/>
        </w:rPr>
      </w:pPr>
      <w:hyperlink w:anchor="_Toc40268216" w:history="1">
        <w:r w:rsidRPr="00BA3B72">
          <w:rPr>
            <w:rStyle w:val="Hyperlink"/>
            <w:noProof/>
          </w:rPr>
          <w:t>CROSS-CULTURAL TRAINING DELIVERY TEAMS</w:t>
        </w:r>
        <w:r>
          <w:rPr>
            <w:noProof/>
            <w:webHidden/>
          </w:rPr>
          <w:tab/>
        </w:r>
        <w:r>
          <w:rPr>
            <w:noProof/>
            <w:webHidden/>
          </w:rPr>
          <w:fldChar w:fldCharType="begin"/>
        </w:r>
        <w:r>
          <w:rPr>
            <w:noProof/>
            <w:webHidden/>
          </w:rPr>
          <w:instrText xml:space="preserve"> PAGEREF _Toc40268216 \h </w:instrText>
        </w:r>
        <w:r>
          <w:rPr>
            <w:noProof/>
            <w:webHidden/>
          </w:rPr>
        </w:r>
        <w:r>
          <w:rPr>
            <w:noProof/>
            <w:webHidden/>
          </w:rPr>
          <w:fldChar w:fldCharType="separate"/>
        </w:r>
        <w:r>
          <w:rPr>
            <w:noProof/>
            <w:webHidden/>
          </w:rPr>
          <w:t>6</w:t>
        </w:r>
        <w:r>
          <w:rPr>
            <w:noProof/>
            <w:webHidden/>
          </w:rPr>
          <w:fldChar w:fldCharType="end"/>
        </w:r>
      </w:hyperlink>
    </w:p>
    <w:p w:rsidR="00A622A1" w:rsidRDefault="00A622A1">
      <w:pPr>
        <w:pStyle w:val="TOC2"/>
        <w:tabs>
          <w:tab w:val="right" w:leader="dot" w:pos="9016"/>
        </w:tabs>
        <w:rPr>
          <w:rFonts w:eastAsiaTheme="minorEastAsia"/>
          <w:noProof/>
          <w:sz w:val="24"/>
          <w:szCs w:val="24"/>
          <w:lang w:eastAsia="en-GB"/>
        </w:rPr>
      </w:pPr>
      <w:hyperlink w:anchor="_Toc40268217" w:history="1">
        <w:r w:rsidRPr="00BA3B72">
          <w:rPr>
            <w:rStyle w:val="Hyperlink"/>
            <w:noProof/>
          </w:rPr>
          <w:t>TRANSFORMATIVE EDUCATION</w:t>
        </w:r>
        <w:r>
          <w:rPr>
            <w:noProof/>
            <w:webHidden/>
          </w:rPr>
          <w:tab/>
        </w:r>
        <w:r>
          <w:rPr>
            <w:noProof/>
            <w:webHidden/>
          </w:rPr>
          <w:fldChar w:fldCharType="begin"/>
        </w:r>
        <w:r>
          <w:rPr>
            <w:noProof/>
            <w:webHidden/>
          </w:rPr>
          <w:instrText xml:space="preserve"> PAGEREF _Toc40268217 \h </w:instrText>
        </w:r>
        <w:r>
          <w:rPr>
            <w:noProof/>
            <w:webHidden/>
          </w:rPr>
        </w:r>
        <w:r>
          <w:rPr>
            <w:noProof/>
            <w:webHidden/>
          </w:rPr>
          <w:fldChar w:fldCharType="separate"/>
        </w:r>
        <w:r>
          <w:rPr>
            <w:noProof/>
            <w:webHidden/>
          </w:rPr>
          <w:t>8</w:t>
        </w:r>
        <w:r>
          <w:rPr>
            <w:noProof/>
            <w:webHidden/>
          </w:rPr>
          <w:fldChar w:fldCharType="end"/>
        </w:r>
      </w:hyperlink>
    </w:p>
    <w:p w:rsidR="00A622A1" w:rsidRDefault="00A622A1">
      <w:pPr>
        <w:pStyle w:val="TOC1"/>
        <w:rPr>
          <w:rFonts w:eastAsiaTheme="minorEastAsia"/>
          <w:b w:val="0"/>
          <w:sz w:val="24"/>
          <w:szCs w:val="24"/>
          <w:lang w:eastAsia="en-GB"/>
        </w:rPr>
      </w:pPr>
      <w:hyperlink w:anchor="_Toc40268218" w:history="1">
        <w:r w:rsidRPr="00BA3B72">
          <w:rPr>
            <w:rStyle w:val="Hyperlink"/>
          </w:rPr>
          <w:t>TRAINING MATERIALS</w:t>
        </w:r>
        <w:r>
          <w:rPr>
            <w:webHidden/>
          </w:rPr>
          <w:tab/>
        </w:r>
        <w:r>
          <w:rPr>
            <w:webHidden/>
          </w:rPr>
          <w:fldChar w:fldCharType="begin"/>
        </w:r>
        <w:r>
          <w:rPr>
            <w:webHidden/>
          </w:rPr>
          <w:instrText xml:space="preserve"> PAGEREF _Toc40268218 \h </w:instrText>
        </w:r>
        <w:r>
          <w:rPr>
            <w:webHidden/>
          </w:rPr>
        </w:r>
        <w:r>
          <w:rPr>
            <w:webHidden/>
          </w:rPr>
          <w:fldChar w:fldCharType="separate"/>
        </w:r>
        <w:r>
          <w:rPr>
            <w:webHidden/>
          </w:rPr>
          <w:t>9</w:t>
        </w:r>
        <w:r>
          <w:rPr>
            <w:webHidden/>
          </w:rPr>
          <w:fldChar w:fldCharType="end"/>
        </w:r>
      </w:hyperlink>
    </w:p>
    <w:p w:rsidR="00A622A1" w:rsidRDefault="00A622A1">
      <w:pPr>
        <w:pStyle w:val="TOC2"/>
        <w:tabs>
          <w:tab w:val="right" w:leader="dot" w:pos="9016"/>
        </w:tabs>
        <w:rPr>
          <w:rFonts w:eastAsiaTheme="minorEastAsia"/>
          <w:noProof/>
          <w:sz w:val="24"/>
          <w:szCs w:val="24"/>
          <w:lang w:eastAsia="en-GB"/>
        </w:rPr>
      </w:pPr>
      <w:hyperlink w:anchor="_Toc40268219" w:history="1">
        <w:r w:rsidRPr="00BA3B72">
          <w:rPr>
            <w:rStyle w:val="Hyperlink"/>
            <w:noProof/>
          </w:rPr>
          <w:t>UNIT DESCRIPTIONS</w:t>
        </w:r>
        <w:r>
          <w:rPr>
            <w:noProof/>
            <w:webHidden/>
          </w:rPr>
          <w:tab/>
        </w:r>
        <w:r>
          <w:rPr>
            <w:noProof/>
            <w:webHidden/>
          </w:rPr>
          <w:fldChar w:fldCharType="begin"/>
        </w:r>
        <w:r>
          <w:rPr>
            <w:noProof/>
            <w:webHidden/>
          </w:rPr>
          <w:instrText xml:space="preserve"> PAGEREF _Toc40268219 \h </w:instrText>
        </w:r>
        <w:r>
          <w:rPr>
            <w:noProof/>
            <w:webHidden/>
          </w:rPr>
        </w:r>
        <w:r>
          <w:rPr>
            <w:noProof/>
            <w:webHidden/>
          </w:rPr>
          <w:fldChar w:fldCharType="separate"/>
        </w:r>
        <w:r>
          <w:rPr>
            <w:noProof/>
            <w:webHidden/>
          </w:rPr>
          <w:t>9</w:t>
        </w:r>
        <w:r>
          <w:rPr>
            <w:noProof/>
            <w:webHidden/>
          </w:rPr>
          <w:fldChar w:fldCharType="end"/>
        </w:r>
      </w:hyperlink>
    </w:p>
    <w:p w:rsidR="00A622A1" w:rsidRDefault="00A622A1">
      <w:pPr>
        <w:pStyle w:val="TOC2"/>
        <w:tabs>
          <w:tab w:val="right" w:leader="dot" w:pos="9016"/>
        </w:tabs>
        <w:rPr>
          <w:rFonts w:eastAsiaTheme="minorEastAsia"/>
          <w:noProof/>
          <w:sz w:val="24"/>
          <w:szCs w:val="24"/>
          <w:lang w:eastAsia="en-GB"/>
        </w:rPr>
      </w:pPr>
      <w:hyperlink w:anchor="_Toc40268220" w:history="1">
        <w:r w:rsidRPr="00BA3B72">
          <w:rPr>
            <w:rStyle w:val="Hyperlink"/>
            <w:noProof/>
          </w:rPr>
          <w:t>UNIT CODES</w:t>
        </w:r>
        <w:r>
          <w:rPr>
            <w:noProof/>
            <w:webHidden/>
          </w:rPr>
          <w:tab/>
        </w:r>
        <w:r>
          <w:rPr>
            <w:noProof/>
            <w:webHidden/>
          </w:rPr>
          <w:fldChar w:fldCharType="begin"/>
        </w:r>
        <w:r>
          <w:rPr>
            <w:noProof/>
            <w:webHidden/>
          </w:rPr>
          <w:instrText xml:space="preserve"> PAGEREF _Toc40268220 \h </w:instrText>
        </w:r>
        <w:r>
          <w:rPr>
            <w:noProof/>
            <w:webHidden/>
          </w:rPr>
        </w:r>
        <w:r>
          <w:rPr>
            <w:noProof/>
            <w:webHidden/>
          </w:rPr>
          <w:fldChar w:fldCharType="separate"/>
        </w:r>
        <w:r>
          <w:rPr>
            <w:noProof/>
            <w:webHidden/>
          </w:rPr>
          <w:t>9</w:t>
        </w:r>
        <w:r>
          <w:rPr>
            <w:noProof/>
            <w:webHidden/>
          </w:rPr>
          <w:fldChar w:fldCharType="end"/>
        </w:r>
      </w:hyperlink>
    </w:p>
    <w:p w:rsidR="00A622A1" w:rsidRDefault="00A622A1">
      <w:pPr>
        <w:pStyle w:val="TOC2"/>
        <w:tabs>
          <w:tab w:val="right" w:leader="dot" w:pos="9016"/>
        </w:tabs>
        <w:rPr>
          <w:rFonts w:eastAsiaTheme="minorEastAsia"/>
          <w:noProof/>
          <w:sz w:val="24"/>
          <w:szCs w:val="24"/>
          <w:lang w:eastAsia="en-GB"/>
        </w:rPr>
      </w:pPr>
      <w:hyperlink w:anchor="_Toc40268221" w:history="1">
        <w:r w:rsidRPr="00BA3B72">
          <w:rPr>
            <w:rStyle w:val="Hyperlink"/>
            <w:noProof/>
          </w:rPr>
          <w:t>POWER POINT PRESENTATIONS</w:t>
        </w:r>
        <w:r>
          <w:rPr>
            <w:noProof/>
            <w:webHidden/>
          </w:rPr>
          <w:tab/>
        </w:r>
        <w:r>
          <w:rPr>
            <w:noProof/>
            <w:webHidden/>
          </w:rPr>
          <w:fldChar w:fldCharType="begin"/>
        </w:r>
        <w:r>
          <w:rPr>
            <w:noProof/>
            <w:webHidden/>
          </w:rPr>
          <w:instrText xml:space="preserve"> PAGEREF _Toc40268221 \h </w:instrText>
        </w:r>
        <w:r>
          <w:rPr>
            <w:noProof/>
            <w:webHidden/>
          </w:rPr>
        </w:r>
        <w:r>
          <w:rPr>
            <w:noProof/>
            <w:webHidden/>
          </w:rPr>
          <w:fldChar w:fldCharType="separate"/>
        </w:r>
        <w:r>
          <w:rPr>
            <w:noProof/>
            <w:webHidden/>
          </w:rPr>
          <w:t>9</w:t>
        </w:r>
        <w:r>
          <w:rPr>
            <w:noProof/>
            <w:webHidden/>
          </w:rPr>
          <w:fldChar w:fldCharType="end"/>
        </w:r>
      </w:hyperlink>
    </w:p>
    <w:p w:rsidR="00A622A1" w:rsidRDefault="00A622A1">
      <w:pPr>
        <w:pStyle w:val="TOC2"/>
        <w:tabs>
          <w:tab w:val="right" w:leader="dot" w:pos="9016"/>
        </w:tabs>
        <w:rPr>
          <w:rFonts w:eastAsiaTheme="minorEastAsia"/>
          <w:noProof/>
          <w:sz w:val="24"/>
          <w:szCs w:val="24"/>
          <w:lang w:eastAsia="en-GB"/>
        </w:rPr>
      </w:pPr>
      <w:hyperlink w:anchor="_Toc40268222" w:history="1">
        <w:r w:rsidRPr="00BA3B72">
          <w:rPr>
            <w:rStyle w:val="Hyperlink"/>
            <w:noProof/>
          </w:rPr>
          <w:t>ASSESSMENT TASKS</w:t>
        </w:r>
        <w:r>
          <w:rPr>
            <w:noProof/>
            <w:webHidden/>
          </w:rPr>
          <w:tab/>
        </w:r>
        <w:r>
          <w:rPr>
            <w:noProof/>
            <w:webHidden/>
          </w:rPr>
          <w:fldChar w:fldCharType="begin"/>
        </w:r>
        <w:r>
          <w:rPr>
            <w:noProof/>
            <w:webHidden/>
          </w:rPr>
          <w:instrText xml:space="preserve"> PAGEREF _Toc40268222 \h </w:instrText>
        </w:r>
        <w:r>
          <w:rPr>
            <w:noProof/>
            <w:webHidden/>
          </w:rPr>
        </w:r>
        <w:r>
          <w:rPr>
            <w:noProof/>
            <w:webHidden/>
          </w:rPr>
          <w:fldChar w:fldCharType="separate"/>
        </w:r>
        <w:r>
          <w:rPr>
            <w:noProof/>
            <w:webHidden/>
          </w:rPr>
          <w:t>10</w:t>
        </w:r>
        <w:r>
          <w:rPr>
            <w:noProof/>
            <w:webHidden/>
          </w:rPr>
          <w:fldChar w:fldCharType="end"/>
        </w:r>
      </w:hyperlink>
    </w:p>
    <w:p w:rsidR="00A622A1" w:rsidRDefault="00A622A1">
      <w:pPr>
        <w:pStyle w:val="TOC2"/>
        <w:tabs>
          <w:tab w:val="right" w:leader="dot" w:pos="9016"/>
        </w:tabs>
        <w:rPr>
          <w:rFonts w:eastAsiaTheme="minorEastAsia"/>
          <w:noProof/>
          <w:sz w:val="24"/>
          <w:szCs w:val="24"/>
          <w:lang w:eastAsia="en-GB"/>
        </w:rPr>
      </w:pPr>
      <w:hyperlink w:anchor="_Toc40268223" w:history="1">
        <w:r w:rsidRPr="00BA3B72">
          <w:rPr>
            <w:rStyle w:val="Hyperlink"/>
            <w:noProof/>
          </w:rPr>
          <w:t>ACTIVITIES</w:t>
        </w:r>
        <w:r>
          <w:rPr>
            <w:noProof/>
            <w:webHidden/>
          </w:rPr>
          <w:tab/>
        </w:r>
        <w:r>
          <w:rPr>
            <w:noProof/>
            <w:webHidden/>
          </w:rPr>
          <w:fldChar w:fldCharType="begin"/>
        </w:r>
        <w:r>
          <w:rPr>
            <w:noProof/>
            <w:webHidden/>
          </w:rPr>
          <w:instrText xml:space="preserve"> PAGEREF _Toc40268223 \h </w:instrText>
        </w:r>
        <w:r>
          <w:rPr>
            <w:noProof/>
            <w:webHidden/>
          </w:rPr>
        </w:r>
        <w:r>
          <w:rPr>
            <w:noProof/>
            <w:webHidden/>
          </w:rPr>
          <w:fldChar w:fldCharType="separate"/>
        </w:r>
        <w:r>
          <w:rPr>
            <w:noProof/>
            <w:webHidden/>
          </w:rPr>
          <w:t>11</w:t>
        </w:r>
        <w:r>
          <w:rPr>
            <w:noProof/>
            <w:webHidden/>
          </w:rPr>
          <w:fldChar w:fldCharType="end"/>
        </w:r>
      </w:hyperlink>
    </w:p>
    <w:p w:rsidR="00A622A1" w:rsidRDefault="00A622A1">
      <w:pPr>
        <w:pStyle w:val="TOC2"/>
        <w:tabs>
          <w:tab w:val="right" w:leader="dot" w:pos="9016"/>
        </w:tabs>
        <w:rPr>
          <w:rFonts w:eastAsiaTheme="minorEastAsia"/>
          <w:noProof/>
          <w:sz w:val="24"/>
          <w:szCs w:val="24"/>
          <w:lang w:eastAsia="en-GB"/>
        </w:rPr>
      </w:pPr>
      <w:hyperlink w:anchor="_Toc40268224" w:history="1">
        <w:r w:rsidRPr="00BA3B72">
          <w:rPr>
            <w:rStyle w:val="Hyperlink"/>
            <w:noProof/>
          </w:rPr>
          <w:t>RESOURCE MATERIALS</w:t>
        </w:r>
        <w:r>
          <w:rPr>
            <w:noProof/>
            <w:webHidden/>
          </w:rPr>
          <w:tab/>
        </w:r>
        <w:r>
          <w:rPr>
            <w:noProof/>
            <w:webHidden/>
          </w:rPr>
          <w:fldChar w:fldCharType="begin"/>
        </w:r>
        <w:r>
          <w:rPr>
            <w:noProof/>
            <w:webHidden/>
          </w:rPr>
          <w:instrText xml:space="preserve"> PAGEREF _Toc40268224 \h </w:instrText>
        </w:r>
        <w:r>
          <w:rPr>
            <w:noProof/>
            <w:webHidden/>
          </w:rPr>
        </w:r>
        <w:r>
          <w:rPr>
            <w:noProof/>
            <w:webHidden/>
          </w:rPr>
          <w:fldChar w:fldCharType="separate"/>
        </w:r>
        <w:r>
          <w:rPr>
            <w:noProof/>
            <w:webHidden/>
          </w:rPr>
          <w:t>11</w:t>
        </w:r>
        <w:r>
          <w:rPr>
            <w:noProof/>
            <w:webHidden/>
          </w:rPr>
          <w:fldChar w:fldCharType="end"/>
        </w:r>
      </w:hyperlink>
    </w:p>
    <w:p w:rsidR="00A622A1" w:rsidRDefault="00A622A1">
      <w:pPr>
        <w:pStyle w:val="TOC1"/>
        <w:rPr>
          <w:rFonts w:eastAsiaTheme="minorEastAsia"/>
          <w:b w:val="0"/>
          <w:sz w:val="24"/>
          <w:szCs w:val="24"/>
          <w:lang w:eastAsia="en-GB"/>
        </w:rPr>
      </w:pPr>
      <w:hyperlink w:anchor="_Toc40268225" w:history="1">
        <w:r w:rsidRPr="00BA3B72">
          <w:rPr>
            <w:rStyle w:val="Hyperlink"/>
          </w:rPr>
          <w:t>TABLE 1: COURSE OVERVIEW - TOP END TRAINING FOR BUSHFIRE NATURAL HAZARD MANAGEMENT</w:t>
        </w:r>
        <w:r>
          <w:rPr>
            <w:webHidden/>
          </w:rPr>
          <w:tab/>
        </w:r>
        <w:r>
          <w:rPr>
            <w:webHidden/>
          </w:rPr>
          <w:fldChar w:fldCharType="begin"/>
        </w:r>
        <w:r>
          <w:rPr>
            <w:webHidden/>
          </w:rPr>
          <w:instrText xml:space="preserve"> PAGEREF _Toc40268225 \h </w:instrText>
        </w:r>
        <w:r>
          <w:rPr>
            <w:webHidden/>
          </w:rPr>
        </w:r>
        <w:r>
          <w:rPr>
            <w:webHidden/>
          </w:rPr>
          <w:fldChar w:fldCharType="separate"/>
        </w:r>
        <w:r>
          <w:rPr>
            <w:webHidden/>
          </w:rPr>
          <w:t>12</w:t>
        </w:r>
        <w:r>
          <w:rPr>
            <w:webHidden/>
          </w:rPr>
          <w:fldChar w:fldCharType="end"/>
        </w:r>
      </w:hyperlink>
    </w:p>
    <w:p w:rsidR="00A622A1" w:rsidRDefault="00A622A1">
      <w:pPr>
        <w:pStyle w:val="TOC1"/>
        <w:rPr>
          <w:rFonts w:eastAsiaTheme="minorEastAsia"/>
          <w:b w:val="0"/>
          <w:sz w:val="24"/>
          <w:szCs w:val="24"/>
          <w:lang w:eastAsia="en-GB"/>
        </w:rPr>
      </w:pPr>
      <w:hyperlink w:anchor="_Toc40268226" w:history="1">
        <w:r w:rsidRPr="00BA3B72">
          <w:rPr>
            <w:rStyle w:val="Hyperlink"/>
          </w:rPr>
          <w:t>TABLE 2: RESOURCE/SUPPORT MATERIALS</w:t>
        </w:r>
        <w:r>
          <w:rPr>
            <w:webHidden/>
          </w:rPr>
          <w:tab/>
        </w:r>
        <w:r>
          <w:rPr>
            <w:webHidden/>
          </w:rPr>
          <w:fldChar w:fldCharType="begin"/>
        </w:r>
        <w:r>
          <w:rPr>
            <w:webHidden/>
          </w:rPr>
          <w:instrText xml:space="preserve"> PAGEREF _Toc40268226 \h </w:instrText>
        </w:r>
        <w:r>
          <w:rPr>
            <w:webHidden/>
          </w:rPr>
        </w:r>
        <w:r>
          <w:rPr>
            <w:webHidden/>
          </w:rPr>
          <w:fldChar w:fldCharType="separate"/>
        </w:r>
        <w:r>
          <w:rPr>
            <w:webHidden/>
          </w:rPr>
          <w:t>13</w:t>
        </w:r>
        <w:r>
          <w:rPr>
            <w:webHidden/>
          </w:rPr>
          <w:fldChar w:fldCharType="end"/>
        </w:r>
      </w:hyperlink>
    </w:p>
    <w:p w:rsidR="00F67DF1" w:rsidRDefault="00A622A1" w:rsidP="00F67DF1">
      <w:r>
        <w:rPr>
          <w:noProof/>
        </w:rPr>
        <w:fldChar w:fldCharType="end"/>
      </w:r>
    </w:p>
    <w:p w:rsidR="00F67DF1" w:rsidRDefault="00F67DF1" w:rsidP="00F67DF1">
      <w:r>
        <w:br w:type="page"/>
      </w:r>
    </w:p>
    <w:p w:rsidR="00F67DF1" w:rsidRPr="0005019B" w:rsidRDefault="00F67DF1" w:rsidP="0005019B">
      <w:pPr>
        <w:pStyle w:val="Heading1"/>
      </w:pPr>
      <w:bookmarkStart w:id="0" w:name="_Toc40268210"/>
      <w:r w:rsidRPr="0005019B">
        <w:lastRenderedPageBreak/>
        <w:t>PURPOSE OF THIS MANUAL</w:t>
      </w:r>
      <w:bookmarkEnd w:id="0"/>
    </w:p>
    <w:p w:rsidR="00F67DF1" w:rsidRDefault="00F67DF1" w:rsidP="00E707AD">
      <w:pPr>
        <w:pStyle w:val="Heading2"/>
      </w:pPr>
      <w:bookmarkStart w:id="1" w:name="_Toc40268211"/>
      <w:r>
        <w:t>INTRODUCTION</w:t>
      </w:r>
      <w:bookmarkEnd w:id="1"/>
    </w:p>
    <w:p w:rsidR="00F67DF1" w:rsidRPr="00D710A4" w:rsidRDefault="00F67DF1" w:rsidP="00F67DF1">
      <w:pPr>
        <w:spacing w:before="140" w:after="0" w:line="280" w:lineRule="exact"/>
        <w:jc w:val="both"/>
        <w:rPr>
          <w:b/>
        </w:rPr>
      </w:pPr>
      <w:r>
        <w:t>Bushfires and other natural hazards are a part of the Australian landscape, and an issue affecting communities no matter where we live.</w:t>
      </w:r>
    </w:p>
    <w:p w:rsidR="00F67DF1" w:rsidRDefault="00F67DF1" w:rsidP="00F67DF1">
      <w:pPr>
        <w:pStyle w:val="BodyText"/>
      </w:pPr>
      <w:r w:rsidRPr="00D710A4">
        <w:t xml:space="preserve">This training is a key product of a </w:t>
      </w:r>
      <w:r w:rsidR="001D5E72">
        <w:t xml:space="preserve">Bushfire and Natural Hazard Cooperative Research Centre </w:t>
      </w:r>
      <w:r w:rsidRPr="00D710A4">
        <w:t>project</w:t>
      </w:r>
      <w:r>
        <w:t xml:space="preserve"> entitled "North Australian Fire and Natural Hazard Training",</w:t>
      </w:r>
      <w:r w:rsidRPr="00D710A4">
        <w:t xml:space="preserve"> m</w:t>
      </w:r>
      <w:r w:rsidR="00214A61">
        <w:t>anaged through R</w:t>
      </w:r>
      <w:r w:rsidR="001D5E72">
        <w:t>IEL at Charles Darwin University</w:t>
      </w:r>
      <w:r>
        <w:t>. A</w:t>
      </w:r>
      <w:r w:rsidRPr="00D710A4">
        <w:t>s part</w:t>
      </w:r>
      <w:r>
        <w:t xml:space="preserve"> </w:t>
      </w:r>
      <w:r w:rsidRPr="00D710A4">
        <w:t>of a program of action research projects based at Charles Darwin University entitled “Building Community Resilience in No</w:t>
      </w:r>
      <w:r>
        <w:t>rthern Australia”, it</w:t>
      </w:r>
      <w:r w:rsidRPr="00D710A4">
        <w:t xml:space="preserve"> has a strong</w:t>
      </w:r>
      <w:r>
        <w:t xml:space="preserve"> focus on action research methods to promote and increase resilience in remote communities.</w:t>
      </w:r>
      <w:r w:rsidRPr="00D710A4">
        <w:t xml:space="preserve"> </w:t>
      </w:r>
    </w:p>
    <w:p w:rsidR="00F67DF1" w:rsidRPr="00D710A4" w:rsidRDefault="00F67DF1" w:rsidP="00281194">
      <w:pPr>
        <w:pStyle w:val="BodyText"/>
        <w:spacing w:before="120" w:after="120"/>
      </w:pPr>
      <w:r>
        <w:t xml:space="preserve">Perhaps the largest single opportunity for enhancing community resilience lies in the encouragement and enhancement of existing nodes of capability and excellence. </w:t>
      </w:r>
      <w:r w:rsidRPr="00D710A4">
        <w:t xml:space="preserve">The most prominent of these for fire and emergency management are ranger groups.  </w:t>
      </w:r>
      <w:r w:rsidR="001D5E72">
        <w:t>Ranger</w:t>
      </w:r>
      <w:r w:rsidRPr="00D710A4">
        <w:t xml:space="preserve"> groups have grown substantially in the last decade and have built a solid base of capacity by ensuring skills, knowledge and qualifications in fields </w:t>
      </w:r>
      <w:r>
        <w:t xml:space="preserve">ranging from </w:t>
      </w:r>
      <w:r w:rsidR="00777116">
        <w:t>the</w:t>
      </w:r>
      <w:r w:rsidRPr="00D710A4">
        <w:t xml:space="preserve"> basic</w:t>
      </w:r>
      <w:r w:rsidR="00777116">
        <w:t xml:space="preserve">, such as </w:t>
      </w:r>
      <w:r w:rsidR="001D5E72">
        <w:t>obtaining</w:t>
      </w:r>
      <w:r w:rsidR="00777116">
        <w:t xml:space="preserve"> </w:t>
      </w:r>
      <w:r w:rsidR="001D5E72">
        <w:t xml:space="preserve">vehicle driver’s </w:t>
      </w:r>
      <w:r w:rsidR="00777116">
        <w:t>license</w:t>
      </w:r>
      <w:r w:rsidR="001D5E72">
        <w:t>s</w:t>
      </w:r>
      <w:r>
        <w:t>,</w:t>
      </w:r>
      <w:r w:rsidRPr="00D710A4">
        <w:t xml:space="preserve"> to </w:t>
      </w:r>
      <w:r w:rsidR="001D5E72">
        <w:t>a range of</w:t>
      </w:r>
      <w:r w:rsidR="00777116">
        <w:t xml:space="preserve"> technical </w:t>
      </w:r>
      <w:r w:rsidR="001D5E72">
        <w:t xml:space="preserve">skills </w:t>
      </w:r>
      <w:r w:rsidR="00777116">
        <w:t xml:space="preserve">including </w:t>
      </w:r>
      <w:r w:rsidRPr="00D710A4">
        <w:t>operating G</w:t>
      </w:r>
      <w:r w:rsidR="006454C3">
        <w:t>eo</w:t>
      </w:r>
      <w:r w:rsidR="00777116">
        <w:t xml:space="preserve">graphic </w:t>
      </w:r>
      <w:r w:rsidRPr="00D710A4">
        <w:t>I</w:t>
      </w:r>
      <w:r w:rsidR="00777116">
        <w:t xml:space="preserve">nformation </w:t>
      </w:r>
      <w:r w:rsidRPr="00D710A4">
        <w:t>S</w:t>
      </w:r>
      <w:r w:rsidR="00777116">
        <w:t>ystems</w:t>
      </w:r>
      <w:r w:rsidRPr="00D710A4">
        <w:t>.</w:t>
      </w:r>
    </w:p>
    <w:p w:rsidR="00F67DF1" w:rsidRDefault="00F67DF1" w:rsidP="00281194">
      <w:pPr>
        <w:spacing w:before="120" w:after="120"/>
      </w:pPr>
      <w:r>
        <w:t>This project aim</w:t>
      </w:r>
      <w:r w:rsidR="00777116">
        <w:t>s</w:t>
      </w:r>
      <w:r>
        <w:t xml:space="preserve"> to provide a ‘next-generation’ training program that builds on the</w:t>
      </w:r>
      <w:r w:rsidR="00777116">
        <w:t xml:space="preserve"> work that has gone before</w:t>
      </w:r>
      <w:r>
        <w:t xml:space="preserve"> and leads to increasing levels of competence and confidence and, in its turn, resilience for their communities. </w:t>
      </w:r>
      <w:r w:rsidR="00777116">
        <w:t>The project</w:t>
      </w:r>
      <w:r>
        <w:t xml:space="preserve"> is a </w:t>
      </w:r>
      <w:r w:rsidR="00777116">
        <w:t xml:space="preserve">direct </w:t>
      </w:r>
      <w:r>
        <w:t xml:space="preserve">response to north Australian stakeholder concerns </w:t>
      </w:r>
      <w:r w:rsidR="00777116">
        <w:t>about existing training; that it is inadequate for their needs. The n</w:t>
      </w:r>
      <w:r>
        <w:t xml:space="preserve">ew training units </w:t>
      </w:r>
      <w:r w:rsidR="00777116">
        <w:t xml:space="preserve">differ from the existing VET training </w:t>
      </w:r>
      <w:r w:rsidR="001D5E72">
        <w:t>to some extent in their</w:t>
      </w:r>
      <w:r w:rsidR="00777116">
        <w:t xml:space="preserve"> content, but more importantly it differs in the way the course material is to be delivered</w:t>
      </w:r>
      <w:r w:rsidR="001D5E72">
        <w:t>, hence this manual</w:t>
      </w:r>
      <w:r w:rsidR="00777116">
        <w:t xml:space="preserve">.  </w:t>
      </w:r>
      <w:r w:rsidR="00281194">
        <w:t>These</w:t>
      </w:r>
      <w:r w:rsidR="00281194" w:rsidRPr="00281194">
        <w:t xml:space="preserve"> units seek to create a cultural space that does not favour one cultural paradigm </w:t>
      </w:r>
      <w:r w:rsidR="001D5E72">
        <w:t xml:space="preserve">(that is, the western ‘VET’ approach to training) </w:t>
      </w:r>
      <w:r w:rsidR="00281194" w:rsidRPr="00281194">
        <w:t xml:space="preserve">but establishes shared goals and ways to achieve them </w:t>
      </w:r>
      <w:r w:rsidR="001D5E72">
        <w:t xml:space="preserve">by </w:t>
      </w:r>
      <w:r w:rsidR="00281194" w:rsidRPr="00281194">
        <w:t>building a shared world view about fire and emergency management and the ways these affect preparation and response, particularly to bushfires, but also other natural hazards.</w:t>
      </w:r>
      <w:r w:rsidR="00281194">
        <w:t xml:space="preserve"> </w:t>
      </w:r>
      <w:r w:rsidR="00777116">
        <w:t xml:space="preserve">The </w:t>
      </w:r>
      <w:r>
        <w:t>develop</w:t>
      </w:r>
      <w:r w:rsidR="00777116">
        <w:t>ment of</w:t>
      </w:r>
      <w:r>
        <w:t xml:space="preserve"> </w:t>
      </w:r>
      <w:r w:rsidR="00281194">
        <w:t>a training process</w:t>
      </w:r>
      <w:r>
        <w:t xml:space="preserve"> that will be user friendly for the target audience</w:t>
      </w:r>
      <w:r w:rsidR="00777116">
        <w:t xml:space="preserve"> has been central to this approach.  This includes i</w:t>
      </w:r>
      <w:r>
        <w:t>n</w:t>
      </w:r>
      <w:r w:rsidR="00777116">
        <w:t xml:space="preserve">digenous rangers, traditional custodians </w:t>
      </w:r>
      <w:r>
        <w:t xml:space="preserve">and others living in remote areas and communities, who are involved in </w:t>
      </w:r>
      <w:r w:rsidR="00777116">
        <w:t xml:space="preserve">bushfire and natural hazard </w:t>
      </w:r>
      <w:r w:rsidR="00281194">
        <w:t>(BNH</w:t>
      </w:r>
      <w:r w:rsidR="00CE3583">
        <w:t xml:space="preserve">) </w:t>
      </w:r>
      <w:r>
        <w:t>management, pastoralists and other landholders and members of organisations and agencies whose remit includes fire and natural ecosystems management including hazard mitigation.</w:t>
      </w:r>
    </w:p>
    <w:p w:rsidR="00F67DF1" w:rsidRPr="002A16E7" w:rsidRDefault="00F67DF1" w:rsidP="00E707AD">
      <w:pPr>
        <w:pStyle w:val="Heading2"/>
      </w:pPr>
      <w:bookmarkStart w:id="2" w:name="_Toc40268212"/>
      <w:r>
        <w:t>DEVELOPING THE TRAINING MATERIALS</w:t>
      </w:r>
      <w:bookmarkEnd w:id="2"/>
    </w:p>
    <w:p w:rsidR="00F67DF1" w:rsidRDefault="00F67DF1" w:rsidP="00F67DF1">
      <w:pPr>
        <w:pStyle w:val="BodyText"/>
      </w:pPr>
      <w:r>
        <w:t xml:space="preserve">The development process needs to be understood if the materials are to be employed most effectively. The project team includes a very broad range of contributors. From the beginning the project has evolved through an authentic collaborative process involving representatives from the three jurisdictions in the Top End; relevant government agencies, Land Councils and </w:t>
      </w:r>
      <w:r w:rsidR="00777116">
        <w:t>other Indigenous support organizations, research organiz</w:t>
      </w:r>
      <w:r>
        <w:t>ations and tertiary institutions with a strong track record in the Top End and connecting with other regions across Australia.</w:t>
      </w:r>
    </w:p>
    <w:p w:rsidR="00CE66B9" w:rsidRDefault="001D5E72" w:rsidP="00F67DF1">
      <w:pPr>
        <w:pStyle w:val="BodyText"/>
      </w:pPr>
      <w:r>
        <w:t xml:space="preserve">As the project developed the emphasis on the </w:t>
      </w:r>
      <w:r w:rsidR="00F67DF1">
        <w:t xml:space="preserve">inclusion of stakeholders </w:t>
      </w:r>
      <w:r>
        <w:t xml:space="preserve">from </w:t>
      </w:r>
      <w:r w:rsidR="00F67DF1">
        <w:t xml:space="preserve">remote communities </w:t>
      </w:r>
      <w:r>
        <w:t>grew significantly</w:t>
      </w:r>
      <w:r w:rsidR="00F67DF1">
        <w:t xml:space="preserve">. </w:t>
      </w:r>
      <w:r>
        <w:t xml:space="preserve">Invitations to conduct workshops in outstations were received and enthusiasm grew as </w:t>
      </w:r>
      <w:r w:rsidR="00CE66B9">
        <w:t xml:space="preserve">Traditional Owners provided input into the arrangement of the course and their role in its delivery. As a </w:t>
      </w:r>
      <w:proofErr w:type="gramStart"/>
      <w:r w:rsidR="00CE66B9">
        <w:t>consequence</w:t>
      </w:r>
      <w:proofErr w:type="gramEnd"/>
      <w:r w:rsidR="00CE66B9">
        <w:t xml:space="preserve"> n</w:t>
      </w:r>
      <w:r w:rsidR="00F67DF1">
        <w:t xml:space="preserve">ew skills and understandings </w:t>
      </w:r>
      <w:r w:rsidR="00CE66B9">
        <w:t>were</w:t>
      </w:r>
      <w:r w:rsidR="00F67DF1">
        <w:t xml:space="preserve"> absorbed into the capability set of the community</w:t>
      </w:r>
      <w:r w:rsidR="00CE66B9">
        <w:t xml:space="preserve"> </w:t>
      </w:r>
      <w:r w:rsidR="00CE66B9" w:rsidRPr="00CE66B9">
        <w:rPr>
          <w:i/>
          <w:iCs/>
        </w:rPr>
        <w:t>in the act of delivering training itself</w:t>
      </w:r>
      <w:r w:rsidR="00F67DF1">
        <w:t xml:space="preserve">. </w:t>
      </w:r>
    </w:p>
    <w:p w:rsidR="00F67DF1" w:rsidRDefault="00F67DF1" w:rsidP="00F67DF1">
      <w:pPr>
        <w:pStyle w:val="BodyText"/>
      </w:pPr>
      <w:r>
        <w:lastRenderedPageBreak/>
        <w:t xml:space="preserve">This </w:t>
      </w:r>
      <w:r w:rsidR="00CE66B9">
        <w:t xml:space="preserve">situation </w:t>
      </w:r>
      <w:r>
        <w:t>significantly alter</w:t>
      </w:r>
      <w:r w:rsidR="00CE66B9">
        <w:t>ed</w:t>
      </w:r>
      <w:r>
        <w:t xml:space="preserve"> the nature and delivery of </w:t>
      </w:r>
      <w:r w:rsidR="00CE66B9">
        <w:t>training units</w:t>
      </w:r>
      <w:r>
        <w:t xml:space="preserve"> so that they are better suited to the learning needs of the indigenous audience they are aimed at. Crucially they prioritize indigenous knowledge and shift the perspective from a predominantly western paradigm to an indigenous one. The information is vested in both western and indigenous science and ecological management approaches providing a basis for a new way of thinking about BNH management.</w:t>
      </w:r>
    </w:p>
    <w:p w:rsidR="00F67DF1" w:rsidRDefault="00F67DF1" w:rsidP="00F67DF1">
      <w:pPr>
        <w:pStyle w:val="BodyText"/>
      </w:pPr>
      <w:r>
        <w:t xml:space="preserve">Indigenous researchers, particularly </w:t>
      </w:r>
      <w:proofErr w:type="spellStart"/>
      <w:r>
        <w:t>ARPNet</w:t>
      </w:r>
      <w:proofErr w:type="spellEnd"/>
      <w:r>
        <w:t xml:space="preserve"> (the Aboriginal Research Practitioners Network), have been the primary contributors of the data used.  Teams of trained researchers from communities </w:t>
      </w:r>
      <w:r w:rsidR="00777116">
        <w:t>across the north</w:t>
      </w:r>
      <w:r>
        <w:t xml:space="preserve"> have been employed, using a specially designed set of qualitative and quantitative research methods i</w:t>
      </w:r>
      <w:r w:rsidR="00777116">
        <w:t>n a contracted research service</w:t>
      </w:r>
      <w:r>
        <w:t xml:space="preserve"> further enhancing community resilience.</w:t>
      </w:r>
      <w:r w:rsidRPr="00236FED">
        <w:t xml:space="preserve"> </w:t>
      </w:r>
      <w:r>
        <w:t>This model reinforces the quality of data capture and provides a legacy of understanding of modern scientific techniques that can be utilized in fire and land management.</w:t>
      </w:r>
    </w:p>
    <w:p w:rsidR="00F67DF1" w:rsidRDefault="00F67DF1" w:rsidP="00E707AD">
      <w:pPr>
        <w:pStyle w:val="Heading2"/>
      </w:pPr>
      <w:bookmarkStart w:id="3" w:name="_Toc40268213"/>
      <w:r>
        <w:t>PROJECT BACKGROUND</w:t>
      </w:r>
      <w:bookmarkEnd w:id="3"/>
    </w:p>
    <w:p w:rsidR="00F67DF1" w:rsidRPr="007304A0" w:rsidRDefault="00777116" w:rsidP="00F67DF1">
      <w:pPr>
        <w:pStyle w:val="BodyText"/>
      </w:pPr>
      <w:r>
        <w:t>I</w:t>
      </w:r>
      <w:r w:rsidR="00F67DF1" w:rsidRPr="007304A0">
        <w:t xml:space="preserve">t is important to recognize that fire and emergency management in Northern Australia is quantitatively and qualitatively different to that in the south of the continent.  The geographical scale of natural disasters such as cyclones, floods and bushfires are legendary.  For fire alone, an average of 430,000 km2 </w:t>
      </w:r>
      <w:r>
        <w:t xml:space="preserve">of northern Australia </w:t>
      </w:r>
      <w:r w:rsidR="00F67DF1" w:rsidRPr="007304A0">
        <w:t xml:space="preserve">is </w:t>
      </w:r>
      <w:r>
        <w:t xml:space="preserve">burnt </w:t>
      </w:r>
      <w:r w:rsidR="00F67DF1" w:rsidRPr="007304A0">
        <w:t>annually, much of it in severe late Dry season fires that contribute to destruction of assets</w:t>
      </w:r>
      <w:r w:rsidR="00F67DF1">
        <w:t>, environmental degra</w:t>
      </w:r>
      <w:r w:rsidR="00F67DF1" w:rsidRPr="007304A0">
        <w:t xml:space="preserve">dation and the majority of the region’s greenhouse gas emissions. </w:t>
      </w:r>
    </w:p>
    <w:p w:rsidR="00F67DF1" w:rsidRPr="007304A0" w:rsidRDefault="00F67DF1" w:rsidP="00F67DF1">
      <w:pPr>
        <w:pStyle w:val="BodyText"/>
      </w:pPr>
      <w:r w:rsidRPr="007304A0">
        <w:t>The enormity of the scale of these events is juxtaposed with a low population and confounded by the remoteness and poverty of resident communities.</w:t>
      </w:r>
    </w:p>
    <w:p w:rsidR="00F67DF1" w:rsidRPr="007304A0" w:rsidRDefault="00F67DF1" w:rsidP="00F67DF1">
      <w:pPr>
        <w:pStyle w:val="BodyText"/>
      </w:pPr>
      <w:r>
        <w:t xml:space="preserve">Nearly 360,000 </w:t>
      </w:r>
      <w:r w:rsidRPr="007304A0">
        <w:t xml:space="preserve">people living </w:t>
      </w:r>
      <w:r>
        <w:t xml:space="preserve">in </w:t>
      </w:r>
      <w:r w:rsidRPr="007304A0">
        <w:t>northern Australia are in communities with varying degrees of remoteness from ‘outer regional’ to ‘very remote’. These communities are predominately inhabited by indigenous Australians with the percentage rising in direct proportion to remoteness.  Annual widespread flooding disrupts their lives and livelihoods, with many communities more than 150km from the nearest hospital</w:t>
      </w:r>
      <w:r w:rsidR="00546F91">
        <w:t xml:space="preserve"> and</w:t>
      </w:r>
      <w:r w:rsidRPr="007304A0">
        <w:t xml:space="preserve"> becoming inaccessible by road for more than 90 days per year. Many</w:t>
      </w:r>
      <w:r>
        <w:t xml:space="preserve"> </w:t>
      </w:r>
      <w:r w:rsidRPr="007304A0">
        <w:t>communities are within 50km of the coast and are vulnerable to storm surge, erosion and sea level rise (18 cm in the last 20 years around Darwin). In the last decade cyclones and flooding have caused the destruction and evacuation of whole communities including some that have no incidence of cyclonic events in living memory.</w:t>
      </w:r>
    </w:p>
    <w:p w:rsidR="00F67DF1" w:rsidRPr="00654999" w:rsidRDefault="00F67DF1" w:rsidP="00E707AD">
      <w:pPr>
        <w:pStyle w:val="Heading2"/>
      </w:pPr>
      <w:bookmarkStart w:id="4" w:name="_Toc40268214"/>
      <w:r>
        <w:t>RATIONALE</w:t>
      </w:r>
      <w:bookmarkEnd w:id="4"/>
    </w:p>
    <w:p w:rsidR="00F67DF1" w:rsidRDefault="00F67DF1" w:rsidP="00F67DF1">
      <w:pPr>
        <w:pStyle w:val="BodyText"/>
      </w:pPr>
      <w:r>
        <w:t xml:space="preserve">The development of yet another set of training </w:t>
      </w:r>
      <w:proofErr w:type="gramStart"/>
      <w:r>
        <w:t>materials</w:t>
      </w:r>
      <w:proofErr w:type="gramEnd"/>
      <w:r>
        <w:t xml:space="preserve"> is justified to meet a number of needs in the remote regions of the Top End in order to build community resilience including:</w:t>
      </w:r>
    </w:p>
    <w:p w:rsidR="00F67DF1" w:rsidRDefault="00F67DF1" w:rsidP="00F67DF1">
      <w:pPr>
        <w:pStyle w:val="BodyText"/>
        <w:numPr>
          <w:ilvl w:val="0"/>
          <w:numId w:val="2"/>
        </w:numPr>
      </w:pPr>
      <w:r>
        <w:t>economic and social opportunities in the communities 'on country' that meet existing cultural and other needs and extend into previously untapped (or under-tapped) e</w:t>
      </w:r>
      <w:r w:rsidR="00F72F02">
        <w:t>conomic</w:t>
      </w:r>
      <w:r w:rsidR="00102804">
        <w:t>/employment</w:t>
      </w:r>
      <w:r>
        <w:t xml:space="preserve"> opportunities;</w:t>
      </w:r>
    </w:p>
    <w:p w:rsidR="00F67DF1" w:rsidRDefault="00F67DF1" w:rsidP="00F67DF1">
      <w:pPr>
        <w:pStyle w:val="BodyText"/>
        <w:numPr>
          <w:ilvl w:val="0"/>
          <w:numId w:val="2"/>
        </w:numPr>
      </w:pPr>
      <w:r>
        <w:t>more effectively undertaking sustainable ecological management of environments in this region using the science and technology available from both indigenous and modern western knowledge systems;</w:t>
      </w:r>
    </w:p>
    <w:p w:rsidR="00F67DF1" w:rsidRDefault="00F67DF1" w:rsidP="00F67DF1">
      <w:pPr>
        <w:pStyle w:val="BodyText"/>
        <w:numPr>
          <w:ilvl w:val="0"/>
          <w:numId w:val="2"/>
        </w:numPr>
      </w:pPr>
      <w:r>
        <w:t>a reduction in costs associated with BNH management in these regions and the costs of maintaining communities far removed geographically and culturally from the resource base sustaining other populated areas;</w:t>
      </w:r>
    </w:p>
    <w:p w:rsidR="00F67DF1" w:rsidRDefault="00F67DF1" w:rsidP="00F67DF1">
      <w:pPr>
        <w:pStyle w:val="BodyText"/>
        <w:numPr>
          <w:ilvl w:val="0"/>
          <w:numId w:val="2"/>
        </w:numPr>
      </w:pPr>
      <w:r>
        <w:t>establishing a new approach to BNH management in the Top End that makes use of ALL the knowledge and expertise available.</w:t>
      </w:r>
    </w:p>
    <w:p w:rsidR="00F67DF1" w:rsidRDefault="00F67DF1" w:rsidP="00F67DF1">
      <w:pPr>
        <w:pStyle w:val="BodyText"/>
      </w:pPr>
      <w:r>
        <w:lastRenderedPageBreak/>
        <w:t>To date the design and delivery of courses has limited their efficacy. This project has implemented a development process that allows materials to be created in a new para</w:t>
      </w:r>
      <w:r w:rsidR="00102804">
        <w:t>digm that not only prioritizes I</w:t>
      </w:r>
      <w:r>
        <w:t xml:space="preserve">ndigenous </w:t>
      </w:r>
      <w:proofErr w:type="gramStart"/>
      <w:r>
        <w:t>knowledge, but</w:t>
      </w:r>
      <w:proofErr w:type="gramEnd"/>
      <w:r>
        <w:t xml:space="preserve"> promotes new ways of BNH management that synthesize traditional eco-cultural methodologies established through long-term engagement in, and connection with place. It utilizes new methods of management being developed in response to changing environ</w:t>
      </w:r>
      <w:r w:rsidR="00102804">
        <w:t>mental characteristics and focu</w:t>
      </w:r>
      <w:r>
        <w:t xml:space="preserve">ses on facilitating economic development and social and cultural resilience of people living in these areas in the 21st century. </w:t>
      </w:r>
    </w:p>
    <w:p w:rsidR="00F67DF1" w:rsidRPr="007304A0" w:rsidRDefault="00F67DF1" w:rsidP="00F67DF1">
      <w:pPr>
        <w:pStyle w:val="BodyText"/>
      </w:pPr>
      <w:r>
        <w:t>S</w:t>
      </w:r>
      <w:r w:rsidRPr="007304A0">
        <w:t xml:space="preserve">takeholders have made it clear that </w:t>
      </w:r>
      <w:r>
        <w:t xml:space="preserve">they </w:t>
      </w:r>
      <w:r w:rsidRPr="007304A0">
        <w:t xml:space="preserve">believe that their needs and their world view have not been addressed in </w:t>
      </w:r>
      <w:r w:rsidR="00CE3583">
        <w:t xml:space="preserve">emergency management and </w:t>
      </w:r>
      <w:r w:rsidRPr="007304A0">
        <w:t>training to date.  There are three jurisd</w:t>
      </w:r>
      <w:r w:rsidR="00CE3583">
        <w:t>ictions in the north; b</w:t>
      </w:r>
      <w:r w:rsidRPr="007304A0">
        <w:t xml:space="preserve">oth Queensland and Western Australia are </w:t>
      </w:r>
      <w:proofErr w:type="gramStart"/>
      <w:r w:rsidRPr="007304A0">
        <w:t>politically</w:t>
      </w:r>
      <w:proofErr w:type="gramEnd"/>
      <w:r w:rsidRPr="007304A0">
        <w:t xml:space="preserve"> and demographically centered south of the Tropic of Capricorn and their agencies have developed comprehensive training capabilities that are applied uniformly across each state. Inevitably these cou</w:t>
      </w:r>
      <w:r>
        <w:t>rses primarily treat with the e</w:t>
      </w:r>
      <w:r w:rsidRPr="007304A0">
        <w:t>mergency and fire management needs of the more populated areas, and these are predominantly in sub-tropical areas.  The Northern Ter</w:t>
      </w:r>
      <w:r>
        <w:t>ritory agencies generally adopt/adapt</w:t>
      </w:r>
      <w:r w:rsidRPr="007304A0">
        <w:t xml:space="preserve"> materials developed in more southerly jurisdictions.</w:t>
      </w:r>
    </w:p>
    <w:p w:rsidR="00F67DF1" w:rsidRPr="00654999" w:rsidRDefault="00F67DF1" w:rsidP="00F67DF1">
      <w:pPr>
        <w:pStyle w:val="BodyText"/>
      </w:pPr>
      <w:r w:rsidRPr="00654999">
        <w:t xml:space="preserve">While </w:t>
      </w:r>
      <w:r w:rsidR="00CE66B9">
        <w:t>participants in the project agree that the existing</w:t>
      </w:r>
      <w:r w:rsidRPr="00654999">
        <w:t xml:space="preserve"> training is sound</w:t>
      </w:r>
      <w:r w:rsidR="00CE66B9">
        <w:t xml:space="preserve"> (there is a need to understand how firefighting is conducted safely from a ‘western’ perspective</w:t>
      </w:r>
      <w:r w:rsidRPr="00654999">
        <w:t xml:space="preserve"> the key qualitative differences matter to remote north Australians. </w:t>
      </w:r>
      <w:r w:rsidR="00CE66B9">
        <w:t>A</w:t>
      </w:r>
      <w:r w:rsidRPr="00654999">
        <w:t xml:space="preserve">ddressing these issues may aid dealing with the quantitative issues raised above.  Research indicates the key qualitative difference is the </w:t>
      </w:r>
      <w:r w:rsidR="00CE66B9">
        <w:t>‘</w:t>
      </w:r>
      <w:r w:rsidRPr="00654999">
        <w:t>world view</w:t>
      </w:r>
      <w:r w:rsidR="00CE66B9">
        <w:t>’</w:t>
      </w:r>
      <w:r w:rsidRPr="00654999">
        <w:t xml:space="preserve"> or </w:t>
      </w:r>
      <w:r w:rsidR="00CE66B9">
        <w:t>‘</w:t>
      </w:r>
      <w:r w:rsidRPr="00654999">
        <w:t>mind set</w:t>
      </w:r>
      <w:r w:rsidR="00CE66B9">
        <w:t>’</w:t>
      </w:r>
      <w:r w:rsidRPr="00654999">
        <w:t xml:space="preserve">. </w:t>
      </w:r>
    </w:p>
    <w:p w:rsidR="00F67DF1" w:rsidRPr="00736437" w:rsidRDefault="00CE66B9" w:rsidP="00F67DF1">
      <w:pPr>
        <w:pStyle w:val="BodyText"/>
      </w:pPr>
      <w:r>
        <w:t xml:space="preserve">There are perhaps two </w:t>
      </w:r>
      <w:proofErr w:type="gramStart"/>
      <w:r>
        <w:t>main</w:t>
      </w:r>
      <w:proofErr w:type="gramEnd"/>
      <w:r>
        <w:t xml:space="preserve"> ‘world views’, one which we characterize as existing in southern Australia (ironically called the predominant ‘western’ view) and the other is housed in the north. T</w:t>
      </w:r>
      <w:r w:rsidR="00F67DF1" w:rsidRPr="007304A0">
        <w:t>here is a strong narrative in southern Australia that ‘we live in a bushfire-prone environment and we have to learn to live with it’</w:t>
      </w:r>
      <w:r>
        <w:t>. In this world view fire is an unwanted thing, an unwelcome visitor and is dangerous. It is something with which we struggle through the summer months; a thing that must be fought if we are to remain safe in our homes. T</w:t>
      </w:r>
      <w:r w:rsidR="00F67DF1" w:rsidRPr="007304A0">
        <w:t>his deterministic view i</w:t>
      </w:r>
      <w:r w:rsidR="00F67DF1">
        <w:t xml:space="preserve">s not shared </w:t>
      </w:r>
      <w:r>
        <w:t xml:space="preserve">by a high proportion of north Australians. </w:t>
      </w:r>
      <w:r w:rsidR="00251A1A">
        <w:t>I</w:t>
      </w:r>
      <w:r w:rsidR="00F67DF1">
        <w:t xml:space="preserve">n the north </w:t>
      </w:r>
      <w:r w:rsidR="00F67DF1" w:rsidRPr="007304A0">
        <w:t>Indigenous Australians as well as pastoral land managers and agency personnel perceive the fire regime as something that is malleable and respons</w:t>
      </w:r>
      <w:r w:rsidR="00F67DF1">
        <w:t>ive to human a</w:t>
      </w:r>
      <w:r w:rsidR="00CE3583">
        <w:t>gency.  Fire is a tool that can</w:t>
      </w:r>
      <w:r w:rsidR="00F67DF1">
        <w:t xml:space="preserve"> </w:t>
      </w:r>
      <w:r w:rsidR="00F67DF1" w:rsidRPr="007304A0">
        <w:t>and should be used to achieve agreed landscape and local objectives</w:t>
      </w:r>
      <w:r w:rsidR="00251A1A">
        <w:t xml:space="preserve">. For Aboriginal people fire is an entity of the (Eternal) Dreaming which has moral character and totemic responsibilities. Fire is also a fundamental component of everyday life and has dozens of uses. In contemporary north Australia the winding together of traditional and western scientific understandings of fire result in a world view of fire management where human agency contributes positively to </w:t>
      </w:r>
      <w:r w:rsidR="00F67DF1" w:rsidRPr="007304A0">
        <w:t>community safety, biodiversity, aesthetic, cultural, greenhouse</w:t>
      </w:r>
      <w:r w:rsidR="00CE3583">
        <w:t>, economic</w:t>
      </w:r>
      <w:r w:rsidR="00F67DF1" w:rsidRPr="007304A0">
        <w:t xml:space="preserve"> and amenity outcomes.  </w:t>
      </w:r>
    </w:p>
    <w:p w:rsidR="00F67DF1" w:rsidRPr="0005019B" w:rsidRDefault="00F67DF1" w:rsidP="0005019B">
      <w:pPr>
        <w:pStyle w:val="Heading1"/>
      </w:pPr>
      <w:bookmarkStart w:id="5" w:name="_Toc40268215"/>
      <w:r w:rsidRPr="0005019B">
        <w:t>TRAINING DELIVERY</w:t>
      </w:r>
      <w:bookmarkEnd w:id="5"/>
      <w:r w:rsidRPr="0005019B">
        <w:t xml:space="preserve"> </w:t>
      </w:r>
    </w:p>
    <w:p w:rsidR="00F67DF1" w:rsidRDefault="00F67DF1" w:rsidP="00F67DF1">
      <w:pPr>
        <w:pStyle w:val="BodyText"/>
      </w:pPr>
      <w:r>
        <w:t>In order for this course to achieve the intended outcomes it is important that the mode of course delivery supports the shift in thinking needed</w:t>
      </w:r>
      <w:r w:rsidR="00E047B1">
        <w:t>.  To achieve this a transformative education approach has been adopted in the development of these units</w:t>
      </w:r>
      <w:r>
        <w:t xml:space="preserve">. </w:t>
      </w:r>
      <w:r w:rsidR="00E047B1">
        <w:t>One outcome of the approach proposed is that s</w:t>
      </w:r>
      <w:r>
        <w:t>ome areas of the content will therefore be different each time it is delivered, to cater to the specific needs of the situation and the people involved. Training providers will need to contextualize the materials and add local content. It is particularly important that Indigenous stakeholders contribute to the process and are heavily involved in both the preparation and delivery of the course.</w:t>
      </w:r>
    </w:p>
    <w:p w:rsidR="00251A1A" w:rsidRDefault="00251A1A" w:rsidP="00F67DF1">
      <w:pPr>
        <w:pStyle w:val="BodyText"/>
      </w:pPr>
    </w:p>
    <w:p w:rsidR="00251A1A" w:rsidRDefault="00251A1A" w:rsidP="00F67DF1">
      <w:pPr>
        <w:pStyle w:val="BodyText"/>
      </w:pPr>
    </w:p>
    <w:p w:rsidR="00102804" w:rsidRPr="00E707AD" w:rsidRDefault="00102804" w:rsidP="00E707AD">
      <w:pPr>
        <w:pStyle w:val="Heading2"/>
      </w:pPr>
      <w:bookmarkStart w:id="6" w:name="_Toc40268216"/>
      <w:r w:rsidRPr="00E707AD">
        <w:lastRenderedPageBreak/>
        <w:t>CROSS-CULTURAL TRAINING DELIVERY TEAMS</w:t>
      </w:r>
      <w:bookmarkEnd w:id="6"/>
    </w:p>
    <w:p w:rsidR="001F0EC9" w:rsidRDefault="006A69BA" w:rsidP="00F67DF1">
      <w:pPr>
        <w:pStyle w:val="BodyText"/>
      </w:pPr>
      <w:r>
        <w:t xml:space="preserve">First and </w:t>
      </w:r>
      <w:r w:rsidR="00736DFA">
        <w:t>foremost,</w:t>
      </w:r>
      <w:r>
        <w:t xml:space="preserve"> </w:t>
      </w:r>
      <w:r w:rsidR="001F0EC9">
        <w:t>it is important to</w:t>
      </w:r>
      <w:r>
        <w:t xml:space="preserve"> establish</w:t>
      </w:r>
      <w:r w:rsidR="00102804">
        <w:t xml:space="preserve"> the socio-cultural context that will support the cognitive, emotional and </w:t>
      </w:r>
      <w:proofErr w:type="spellStart"/>
      <w:r w:rsidR="00102804">
        <w:t>behavioural</w:t>
      </w:r>
      <w:proofErr w:type="spellEnd"/>
      <w:r w:rsidR="00102804">
        <w:t xml:space="preserve"> </w:t>
      </w:r>
      <w:r w:rsidR="00323EC3">
        <w:t>learning</w:t>
      </w:r>
      <w:r w:rsidR="00102804">
        <w:t xml:space="preserve"> required to make the </w:t>
      </w:r>
      <w:r w:rsidR="00323EC3">
        <w:t>s</w:t>
      </w:r>
      <w:r w:rsidR="00102804">
        <w:t xml:space="preserve">hifts in the way that BNH management is </w:t>
      </w:r>
      <w:r w:rsidR="00323EC3">
        <w:t>conceived. Training delivery should be part of a long-term process of collaborative interaction involving a network of Indigenous and n</w:t>
      </w:r>
      <w:r w:rsidR="00AE69B0">
        <w:t>on-indigenous stakeholders.</w:t>
      </w:r>
      <w:r w:rsidR="00323EC3">
        <w:t xml:space="preserve"> </w:t>
      </w:r>
      <w:r w:rsidR="00AE69B0">
        <w:t>E</w:t>
      </w:r>
      <w:r w:rsidR="00323EC3">
        <w:t>ducators, researchers, rep</w:t>
      </w:r>
      <w:r w:rsidR="00CE3583">
        <w:t xml:space="preserve">resentatives including Traditional Owners (‘TOs’) and </w:t>
      </w:r>
      <w:proofErr w:type="spellStart"/>
      <w:r w:rsidR="001F0EC9">
        <w:t>J</w:t>
      </w:r>
      <w:r w:rsidR="00323EC3">
        <w:t>ung</w:t>
      </w:r>
      <w:r w:rsidR="00CE3583">
        <w:t>k</w:t>
      </w:r>
      <w:r w:rsidR="00323EC3">
        <w:t>a</w:t>
      </w:r>
      <w:r w:rsidR="00CE3583">
        <w:t>y</w:t>
      </w:r>
      <w:r w:rsidR="00323EC3">
        <w:t>i</w:t>
      </w:r>
      <w:proofErr w:type="spellEnd"/>
      <w:r w:rsidR="00323EC3" w:rsidRPr="00323EC3">
        <w:t xml:space="preserve"> </w:t>
      </w:r>
      <w:r w:rsidR="00323EC3">
        <w:t>from the community/country where tra</w:t>
      </w:r>
      <w:r w:rsidR="00AE69B0">
        <w:t>ining is to take place and</w:t>
      </w:r>
      <w:r w:rsidR="00323EC3">
        <w:t xml:space="preserve"> other landhold</w:t>
      </w:r>
      <w:r>
        <w:t>er/manager groups and employers</w:t>
      </w:r>
      <w:r w:rsidR="00837062">
        <w:t xml:space="preserve">. </w:t>
      </w:r>
    </w:p>
    <w:p w:rsidR="001F0EC9" w:rsidRPr="002E4BE4" w:rsidRDefault="005F35CF" w:rsidP="00F67DF1">
      <w:pPr>
        <w:pStyle w:val="BodyText"/>
        <w:rPr>
          <w:u w:val="single"/>
        </w:rPr>
      </w:pPr>
      <w:r w:rsidRPr="002E4BE4">
        <w:rPr>
          <w:u w:val="single"/>
        </w:rPr>
        <w:t xml:space="preserve">Pre-engagement </w:t>
      </w:r>
    </w:p>
    <w:p w:rsidR="00736DFA" w:rsidRDefault="005F35CF" w:rsidP="00F67DF1">
      <w:pPr>
        <w:pStyle w:val="BodyText"/>
      </w:pPr>
      <w:r>
        <w:t>T</w:t>
      </w:r>
      <w:r w:rsidR="00736DFA">
        <w:t xml:space="preserve">hroughout the project pre-engagement with has been found to be one of the best predictors of success. The best arrangements incorporate logistical planning and training set-up up to eight weeks prior to the event. Local clan groups are made aware of the opportunity to be involved in training and if they want to proceed invite the trainers on country on a mutually agreed date. </w:t>
      </w:r>
    </w:p>
    <w:p w:rsidR="00736DFA" w:rsidRDefault="00736DFA" w:rsidP="00F67DF1">
      <w:pPr>
        <w:pStyle w:val="BodyText"/>
      </w:pPr>
      <w:r>
        <w:t>The local clan leaders invite both the trainers and the trainees (see below). That is, the course participants are selected by the traditional owners and managers of the country. Adequate ‘lead time’ is necessary to ensure that the scheduling of the course does not interfere with other events (notwithstanding the ever-present potential for everything to be put on hold by ‘sorry business).</w:t>
      </w:r>
    </w:p>
    <w:p w:rsidR="00736DFA" w:rsidRDefault="00736DFA" w:rsidP="00F67DF1">
      <w:pPr>
        <w:pStyle w:val="BodyText"/>
      </w:pPr>
      <w:r>
        <w:t xml:space="preserve">Traditional owners and local ‘Professors’ are identified and engaged to be involved in the </w:t>
      </w:r>
      <w:proofErr w:type="spellStart"/>
      <w:r>
        <w:t>auspicing</w:t>
      </w:r>
      <w:proofErr w:type="spellEnd"/>
      <w:r>
        <w:t xml:space="preserve"> of the training as well as in the delivery of both the content and activities. The training team should meet on country two days before the course is scheduled to proceed and work through the proposed Training Units and the materials to be presented. Activities and assessments should be adapted </w:t>
      </w:r>
      <w:r w:rsidR="005F35CF">
        <w:t xml:space="preserve">in cooperation with Traditional Owners, </w:t>
      </w:r>
      <w:proofErr w:type="spellStart"/>
      <w:r w:rsidR="005F35CF">
        <w:t>Jungkayi</w:t>
      </w:r>
      <w:proofErr w:type="spellEnd"/>
      <w:r w:rsidR="005F35CF">
        <w:t xml:space="preserve"> and Professors to suit the course participants and local conditions. The drafted course materials provide general directions and suggestions for activities, but these can and should be amended and improved to better suit the specific clan group involved in the training.</w:t>
      </w:r>
    </w:p>
    <w:p w:rsidR="005F35CF" w:rsidRPr="002E4BE4" w:rsidRDefault="005F35CF" w:rsidP="00F67DF1">
      <w:pPr>
        <w:pStyle w:val="BodyText"/>
        <w:rPr>
          <w:u w:val="single"/>
        </w:rPr>
      </w:pPr>
      <w:r w:rsidRPr="002E4BE4">
        <w:rPr>
          <w:u w:val="single"/>
        </w:rPr>
        <w:t>Training on Country</w:t>
      </w:r>
    </w:p>
    <w:p w:rsidR="001F0EC9" w:rsidRDefault="00837062" w:rsidP="00F67DF1">
      <w:pPr>
        <w:pStyle w:val="BodyText"/>
      </w:pPr>
      <w:r>
        <w:t xml:space="preserve">It is crucial that </w:t>
      </w:r>
      <w:r w:rsidR="005F35CF">
        <w:t xml:space="preserve">training takes place </w:t>
      </w:r>
      <w:r w:rsidR="00CE3583">
        <w:t>‘</w:t>
      </w:r>
      <w:r>
        <w:t xml:space="preserve">on </w:t>
      </w:r>
      <w:r w:rsidR="005F35CF">
        <w:t>C</w:t>
      </w:r>
      <w:r>
        <w:t>ountry</w:t>
      </w:r>
      <w:r w:rsidR="00CE3583">
        <w:t>’</w:t>
      </w:r>
      <w:r>
        <w:t xml:space="preserve"> and that activities are tailored to the country where participants will be expected to undertake management roles. </w:t>
      </w:r>
      <w:r w:rsidR="005F35CF">
        <w:t>While an increasing number of Aboriginal people are familiar with the ‘western’ classroom ‘chalk &amp; talk’ approach to learning, it remains the case that most are discomfited by it. People are more comfortable and receptive on their own country with their own people. Accepting this point allows training to move to smaller and more remote settings which reinforces the ‘Clan’ training approach advocated below.</w:t>
      </w:r>
    </w:p>
    <w:p w:rsidR="005F35CF" w:rsidRDefault="005F35CF" w:rsidP="00F67DF1">
      <w:pPr>
        <w:pStyle w:val="BodyText"/>
      </w:pPr>
      <w:r>
        <w:t>Training on Country allows for the incorporation of the local landscape into training activities. Presentations may be embedded in other activities consistent with the Transformative Education approach discussed below (</w:t>
      </w:r>
      <w:proofErr w:type="spellStart"/>
      <w:r>
        <w:t>eg</w:t>
      </w:r>
      <w:proofErr w:type="spellEnd"/>
      <w:r>
        <w:t xml:space="preserve"> a leadership session for women might be conducted while digging yams). Practical activities around fire management or some other natural hazard </w:t>
      </w:r>
      <w:r w:rsidR="002B2E47">
        <w:t>can be arranged as timely changes of pace throughout the training program.</w:t>
      </w:r>
    </w:p>
    <w:p w:rsidR="002B2E47" w:rsidRDefault="002B2E47" w:rsidP="00F67DF1">
      <w:pPr>
        <w:pStyle w:val="BodyText"/>
      </w:pPr>
      <w:r>
        <w:t xml:space="preserve">One other aspect of training on country that cannot be overestimated is the value that accrues from the cohabitation of trainers and trainees in the evenings after formal training has ceased. Sharing meals and entertainment offers endless opportunities to model </w:t>
      </w:r>
      <w:proofErr w:type="spellStart"/>
      <w:r>
        <w:t>behaviours</w:t>
      </w:r>
      <w:proofErr w:type="spellEnd"/>
      <w:r>
        <w:t xml:space="preserve"> (leadership for example) and to reiterate the important points embedded in lessons. Most importantly it provides quiet and safe spaces for matters that may have been unclear or ‘untranslated’ to be discussed or followed-up. This is a crucial step in </w:t>
      </w:r>
      <w:r w:rsidR="00B0407A">
        <w:t>allowing trainees to incorporate new knowledge into their existing scaffold of knowledge.</w:t>
      </w:r>
    </w:p>
    <w:p w:rsidR="001F0EC9" w:rsidRPr="002E4BE4" w:rsidRDefault="00B0407A" w:rsidP="00F67DF1">
      <w:pPr>
        <w:pStyle w:val="BodyText"/>
        <w:rPr>
          <w:u w:val="single"/>
        </w:rPr>
      </w:pPr>
      <w:r w:rsidRPr="002E4BE4">
        <w:rPr>
          <w:u w:val="single"/>
        </w:rPr>
        <w:lastRenderedPageBreak/>
        <w:t>Training the whole Clan</w:t>
      </w:r>
    </w:p>
    <w:p w:rsidR="00B0407A" w:rsidRDefault="00B0407A" w:rsidP="00F67DF1">
      <w:pPr>
        <w:pStyle w:val="BodyText"/>
      </w:pPr>
      <w:r>
        <w:t>The project found that, while Rangers were the primary ‘target’ audience for the training, success was correlated with the invitation of the whole land-holding Clan to attend. In practice this meant that during formal training sessions Rangers, dressed in their uniforms, were seated near the front of the group. However</w:t>
      </w:r>
      <w:r w:rsidR="00D24A27">
        <w:t>,</w:t>
      </w:r>
      <w:r>
        <w:t xml:space="preserve"> scattered around the space there may be up to two dozen other people. These are the kin of the formal trainees; grandmothers, uncles, children and babies. </w:t>
      </w:r>
    </w:p>
    <w:p w:rsidR="00B0407A" w:rsidRDefault="00B0407A" w:rsidP="00F67DF1">
      <w:pPr>
        <w:pStyle w:val="BodyText"/>
      </w:pPr>
      <w:r>
        <w:t xml:space="preserve">When training on Country, it is possible to arrange an informal training space with a ‘classroom’ area bracketed by a campfire and say a kitchen. People feel free to move between these spaces and all are encouraged to ask questions and seek clarification throughout the training. </w:t>
      </w:r>
      <w:r w:rsidR="00D24A27">
        <w:t xml:space="preserve">Children and others are free to leave if their needs require it. </w:t>
      </w:r>
      <w:r>
        <w:t>The incorporation of traditional Professors allows for interpretation and on occasion concepts that do not translate easily (“Resilience” being one example) result in illuminating discussions in multiple languages until it is felt that the group ‘own’ the concept in their own right.</w:t>
      </w:r>
    </w:p>
    <w:p w:rsidR="00B0407A" w:rsidRDefault="00B0407A" w:rsidP="00F67DF1">
      <w:pPr>
        <w:pStyle w:val="BodyText"/>
      </w:pPr>
      <w:r>
        <w:t xml:space="preserve">Through training the whole Clan, Rangers are able to receive increased levels of moral support from their families. This is due to the fact that the knowledge they hold and the work they do is shared. There is a greater empathy for their situation, particularly when that work requires ongoing engagement with </w:t>
      </w:r>
      <w:proofErr w:type="spellStart"/>
      <w:r>
        <w:t>Balanda</w:t>
      </w:r>
      <w:proofErr w:type="spellEnd"/>
      <w:r>
        <w:t>.</w:t>
      </w:r>
    </w:p>
    <w:p w:rsidR="00B0407A" w:rsidRPr="002E4BE4" w:rsidRDefault="00B0407A" w:rsidP="00F67DF1">
      <w:pPr>
        <w:pStyle w:val="BodyText"/>
        <w:rPr>
          <w:u w:val="single"/>
        </w:rPr>
      </w:pPr>
      <w:r w:rsidRPr="002E4BE4">
        <w:rPr>
          <w:u w:val="single"/>
        </w:rPr>
        <w:t>Traditional Professors as trainers</w:t>
      </w:r>
    </w:p>
    <w:p w:rsidR="00D24A27" w:rsidRDefault="00837062" w:rsidP="00F67DF1">
      <w:pPr>
        <w:pStyle w:val="BodyText"/>
      </w:pPr>
      <w:r>
        <w:t>Trainers should include expe</w:t>
      </w:r>
      <w:r w:rsidR="00CE3583">
        <w:t>rienced members from the organiz</w:t>
      </w:r>
      <w:r>
        <w:t xml:space="preserve">ation and community and </w:t>
      </w:r>
      <w:r w:rsidR="00AE69B0">
        <w:t xml:space="preserve">the process </w:t>
      </w:r>
      <w:r>
        <w:t>should</w:t>
      </w:r>
      <w:r w:rsidR="00B0407A">
        <w:t xml:space="preserve">, in part, </w:t>
      </w:r>
      <w:r>
        <w:t xml:space="preserve">be viewed </w:t>
      </w:r>
      <w:r w:rsidR="00B0407A">
        <w:t>one aspect of inter-generational transfer: the</w:t>
      </w:r>
      <w:r>
        <w:t xml:space="preserve"> </w:t>
      </w:r>
      <w:r w:rsidR="006A69BA">
        <w:t xml:space="preserve">passing on </w:t>
      </w:r>
      <w:r w:rsidR="00B0407A">
        <w:t>of t</w:t>
      </w:r>
      <w:r w:rsidR="006A69BA">
        <w:t xml:space="preserve">raditional knowledge </w:t>
      </w:r>
      <w:r w:rsidR="00B0407A">
        <w:t>from one</w:t>
      </w:r>
      <w:r w:rsidR="006A69BA">
        <w:t xml:space="preserve"> generation</w:t>
      </w:r>
      <w:r w:rsidR="00B0407A">
        <w:t xml:space="preserve"> to the next. As well as the obvious advantage of </w:t>
      </w:r>
      <w:r w:rsidR="00D24A27">
        <w:t>Rangers accessing traditional information they may not have, the space created by this training arrangement further secures the framework for incorporating new (non-indigenous)</w:t>
      </w:r>
      <w:r w:rsidR="006A69BA">
        <w:t xml:space="preserve"> </w:t>
      </w:r>
      <w:r w:rsidR="00D24A27">
        <w:t xml:space="preserve">knowledge into Skills and Knowledge of the trainees. </w:t>
      </w:r>
    </w:p>
    <w:p w:rsidR="00D24A27" w:rsidRDefault="00D24A27" w:rsidP="00F67DF1">
      <w:pPr>
        <w:pStyle w:val="BodyText"/>
      </w:pPr>
      <w:r>
        <w:t xml:space="preserve">The inclusion of traditional Professors also builds increased rapport between trainees and their Clan’s elders. This counters a trend toward increasing antipathy between TOs and Rangers, who they feel, under the influence of </w:t>
      </w:r>
      <w:proofErr w:type="spellStart"/>
      <w:r>
        <w:t>Balanda</w:t>
      </w:r>
      <w:proofErr w:type="spellEnd"/>
      <w:r>
        <w:t xml:space="preserve"> workplace pressures</w:t>
      </w:r>
      <w:r w:rsidR="002E4BE4">
        <w:t xml:space="preserve"> </w:t>
      </w:r>
      <w:r>
        <w:t>act without consulting and seeking proper authority.</w:t>
      </w:r>
    </w:p>
    <w:p w:rsidR="002E4BE4" w:rsidRDefault="002E4BE4" w:rsidP="00F67DF1">
      <w:pPr>
        <w:pStyle w:val="BodyText"/>
      </w:pPr>
      <w:r>
        <w:t xml:space="preserve">One final, but important recommendation with regard to engaging traditional Professors is that they should be paid. This should be a professional rate commensurate with the extensive knowledge they hold and will impart. </w:t>
      </w:r>
    </w:p>
    <w:p w:rsidR="00D24A27" w:rsidRPr="002E4BE4" w:rsidRDefault="00D24A27" w:rsidP="00CE3583">
      <w:pPr>
        <w:pStyle w:val="BodyText"/>
        <w:rPr>
          <w:u w:val="single"/>
        </w:rPr>
      </w:pPr>
      <w:r w:rsidRPr="002E4BE4">
        <w:rPr>
          <w:u w:val="single"/>
        </w:rPr>
        <w:t>In summary, training delivery should:</w:t>
      </w:r>
    </w:p>
    <w:p w:rsidR="00D24A27" w:rsidRDefault="00D24A27" w:rsidP="002E4BE4">
      <w:pPr>
        <w:pStyle w:val="BodyText"/>
        <w:numPr>
          <w:ilvl w:val="0"/>
          <w:numId w:val="7"/>
        </w:numPr>
      </w:pPr>
      <w:r>
        <w:t>Incorporate extensive pre-engagement (‘lead time’) with Traditional Owners</w:t>
      </w:r>
    </w:p>
    <w:p w:rsidR="00D24A27" w:rsidRDefault="00D24A27" w:rsidP="002E4BE4">
      <w:pPr>
        <w:pStyle w:val="BodyText"/>
        <w:numPr>
          <w:ilvl w:val="0"/>
          <w:numId w:val="7"/>
        </w:numPr>
      </w:pPr>
      <w:r>
        <w:t>Be on Country</w:t>
      </w:r>
    </w:p>
    <w:p w:rsidR="00D24A27" w:rsidRDefault="00D24A27" w:rsidP="002E4BE4">
      <w:pPr>
        <w:pStyle w:val="BodyText"/>
        <w:numPr>
          <w:ilvl w:val="0"/>
          <w:numId w:val="7"/>
        </w:numPr>
      </w:pPr>
      <w:r>
        <w:t>Train a formal audience (</w:t>
      </w:r>
      <w:proofErr w:type="spellStart"/>
      <w:r>
        <w:t>eg</w:t>
      </w:r>
      <w:proofErr w:type="spellEnd"/>
      <w:r>
        <w:t xml:space="preserve"> Rangers) but invite the whole Clan</w:t>
      </w:r>
    </w:p>
    <w:p w:rsidR="00C509AC" w:rsidRDefault="002E4BE4" w:rsidP="002E4BE4">
      <w:pPr>
        <w:pStyle w:val="BodyText"/>
        <w:numPr>
          <w:ilvl w:val="0"/>
          <w:numId w:val="7"/>
        </w:numPr>
      </w:pPr>
      <w:r>
        <w:t>Employ local traditional Professors in training delivery</w:t>
      </w:r>
    </w:p>
    <w:p w:rsidR="00D24A27" w:rsidRDefault="00D24A27" w:rsidP="00CE3583">
      <w:pPr>
        <w:pStyle w:val="BodyText"/>
      </w:pPr>
    </w:p>
    <w:p w:rsidR="00491D00" w:rsidRDefault="00491D00" w:rsidP="00491D00">
      <w:pPr>
        <w:pStyle w:val="BodyText"/>
      </w:pPr>
      <w:r>
        <w:t xml:space="preserve">Whilst these factors add to the costs, complexity and time needed to organize delivery, the North Australian BNH Training project has identified this as a key point of difference for successful training delivery involving indigenous people. The term 'training fatigue' is frequently mentioned and there is widespread dissatisfaction with training that has caused many to become disengaged from VET through conventional delivery modes. The approach proposed here has an additional benefit: </w:t>
      </w:r>
      <w:r>
        <w:lastRenderedPageBreak/>
        <w:t>inevitably within the trainer team there will be a process of '</w:t>
      </w:r>
      <w:proofErr w:type="spellStart"/>
      <w:r>
        <w:t>cross-fertilisation</w:t>
      </w:r>
      <w:proofErr w:type="spellEnd"/>
      <w:r>
        <w:t>' - everyone taking on the role of learner at times throughout the training delivery phase. This training phase should not be seen as a culminating activity but rather a catalyst for promoting a learning community where sharing information and skills, is on-going.</w:t>
      </w:r>
    </w:p>
    <w:p w:rsidR="00D24A27" w:rsidRPr="00CE3583" w:rsidRDefault="00D24A27" w:rsidP="00CE3583">
      <w:pPr>
        <w:pStyle w:val="BodyText"/>
      </w:pPr>
    </w:p>
    <w:p w:rsidR="00F67DF1" w:rsidRPr="007C62F0" w:rsidRDefault="00F67DF1" w:rsidP="00E707AD">
      <w:pPr>
        <w:pStyle w:val="Heading2"/>
      </w:pPr>
      <w:bookmarkStart w:id="7" w:name="_Toc40268217"/>
      <w:r>
        <w:t>TRANSFORMATIVE EDUCATION</w:t>
      </w:r>
      <w:bookmarkEnd w:id="7"/>
    </w:p>
    <w:p w:rsidR="00F67DF1" w:rsidRPr="00754250" w:rsidRDefault="00F67DF1" w:rsidP="00F67DF1">
      <w:pPr>
        <w:pStyle w:val="NormalWeb"/>
        <w:shd w:val="clear" w:color="auto" w:fill="FFFFFF"/>
        <w:spacing w:before="240" w:beforeAutospacing="0" w:after="120" w:afterAutospacing="0"/>
        <w:ind w:left="851" w:right="1230"/>
        <w:rPr>
          <w:rFonts w:asciiTheme="minorHAnsi" w:hAnsiTheme="minorHAnsi" w:cs="Arial"/>
          <w:i/>
          <w:color w:val="000000"/>
          <w:sz w:val="22"/>
          <w:szCs w:val="22"/>
        </w:rPr>
      </w:pPr>
      <w:r w:rsidRPr="00754250">
        <w:rPr>
          <w:rFonts w:asciiTheme="minorHAnsi" w:hAnsiTheme="minorHAnsi" w:cs="Arial"/>
          <w:i/>
          <w:color w:val="000000"/>
          <w:sz w:val="22"/>
          <w:szCs w:val="22"/>
        </w:rPr>
        <w:t>"Transformative education holds that “learning is understood as a process of using a prior interpretation to construe a new or revised interpretation of the meaning of one’s experience in order to guide future action” (</w:t>
      </w:r>
      <w:proofErr w:type="spellStart"/>
      <w:r w:rsidRPr="00754250">
        <w:rPr>
          <w:rFonts w:asciiTheme="minorHAnsi" w:hAnsiTheme="minorHAnsi" w:cs="Arial"/>
          <w:i/>
          <w:color w:val="000000"/>
          <w:sz w:val="22"/>
          <w:szCs w:val="22"/>
        </w:rPr>
        <w:t>Mezirow</w:t>
      </w:r>
      <w:proofErr w:type="spellEnd"/>
      <w:r w:rsidRPr="00754250">
        <w:rPr>
          <w:rFonts w:asciiTheme="minorHAnsi" w:hAnsiTheme="minorHAnsi" w:cs="Arial"/>
          <w:i/>
          <w:color w:val="000000"/>
          <w:sz w:val="22"/>
          <w:szCs w:val="22"/>
        </w:rPr>
        <w:t>, 1996, p. 162). Drawing upon the work of O’Sullivan, Morrell and O’Connor (2002), transformative education can further be defined as teaching and learning which involves:</w:t>
      </w:r>
    </w:p>
    <w:p w:rsidR="00F67DF1" w:rsidRPr="00754250" w:rsidRDefault="00F67DF1" w:rsidP="00F67DF1">
      <w:pPr>
        <w:numPr>
          <w:ilvl w:val="0"/>
          <w:numId w:val="4"/>
        </w:numPr>
        <w:shd w:val="clear" w:color="auto" w:fill="FFFFFF"/>
        <w:tabs>
          <w:tab w:val="clear" w:pos="720"/>
          <w:tab w:val="num" w:pos="1418"/>
        </w:tabs>
        <w:spacing w:after="0" w:line="315" w:lineRule="atLeast"/>
        <w:ind w:left="1418" w:right="1229" w:hanging="284"/>
        <w:rPr>
          <w:rFonts w:cs="Arial"/>
          <w:i/>
          <w:color w:val="000000"/>
        </w:rPr>
      </w:pPr>
      <w:r w:rsidRPr="00754250">
        <w:rPr>
          <w:rFonts w:cs="Arial"/>
          <w:i/>
          <w:color w:val="000000"/>
        </w:rPr>
        <w:t>A deep structural shift in the basic premises of thought, feelings and actions</w:t>
      </w:r>
    </w:p>
    <w:p w:rsidR="00F67DF1" w:rsidRPr="00754250" w:rsidRDefault="00F67DF1" w:rsidP="00F67DF1">
      <w:pPr>
        <w:numPr>
          <w:ilvl w:val="0"/>
          <w:numId w:val="4"/>
        </w:numPr>
        <w:shd w:val="clear" w:color="auto" w:fill="FFFFFF"/>
        <w:tabs>
          <w:tab w:val="clear" w:pos="720"/>
          <w:tab w:val="num" w:pos="1418"/>
        </w:tabs>
        <w:spacing w:after="0" w:line="315" w:lineRule="atLeast"/>
        <w:ind w:left="1418" w:right="1229" w:hanging="284"/>
        <w:rPr>
          <w:rFonts w:cs="Arial"/>
          <w:i/>
          <w:color w:val="000000"/>
        </w:rPr>
      </w:pPr>
      <w:r w:rsidRPr="00754250">
        <w:rPr>
          <w:rFonts w:cs="Arial"/>
          <w:i/>
          <w:color w:val="000000"/>
        </w:rPr>
        <w:t>A shift of consciousness that alters our way of being in the world</w:t>
      </w:r>
    </w:p>
    <w:p w:rsidR="00F67DF1" w:rsidRPr="00754250" w:rsidRDefault="00F67DF1" w:rsidP="00F67DF1">
      <w:pPr>
        <w:numPr>
          <w:ilvl w:val="0"/>
          <w:numId w:val="4"/>
        </w:numPr>
        <w:shd w:val="clear" w:color="auto" w:fill="FFFFFF"/>
        <w:tabs>
          <w:tab w:val="clear" w:pos="720"/>
          <w:tab w:val="num" w:pos="1418"/>
        </w:tabs>
        <w:spacing w:after="0" w:line="315" w:lineRule="atLeast"/>
        <w:ind w:left="1418" w:right="1229" w:hanging="284"/>
        <w:rPr>
          <w:rFonts w:cs="Arial"/>
          <w:i/>
          <w:color w:val="000000"/>
        </w:rPr>
      </w:pPr>
      <w:r w:rsidRPr="00754250">
        <w:rPr>
          <w:rFonts w:cs="Arial"/>
          <w:i/>
          <w:color w:val="000000"/>
        </w:rPr>
        <w:t>Understanding ourselves, our self-locations, and our relationships with others in the world</w:t>
      </w:r>
    </w:p>
    <w:p w:rsidR="00F67DF1" w:rsidRPr="00754250" w:rsidRDefault="00F67DF1" w:rsidP="00F67DF1">
      <w:pPr>
        <w:numPr>
          <w:ilvl w:val="0"/>
          <w:numId w:val="4"/>
        </w:numPr>
        <w:shd w:val="clear" w:color="auto" w:fill="FFFFFF"/>
        <w:tabs>
          <w:tab w:val="clear" w:pos="720"/>
          <w:tab w:val="num" w:pos="1418"/>
        </w:tabs>
        <w:spacing w:after="0" w:line="315" w:lineRule="atLeast"/>
        <w:ind w:left="1418" w:right="1229" w:hanging="284"/>
        <w:rPr>
          <w:rFonts w:cs="Arial"/>
          <w:i/>
          <w:color w:val="000000"/>
        </w:rPr>
      </w:pPr>
      <w:r w:rsidRPr="00754250">
        <w:rPr>
          <w:rFonts w:cs="Arial"/>
          <w:i/>
          <w:color w:val="000000"/>
        </w:rPr>
        <w:t>Understanding relations of power in interlocking structures of race, class and gender</w:t>
      </w:r>
    </w:p>
    <w:p w:rsidR="00F67DF1" w:rsidRPr="00754250" w:rsidRDefault="00F67DF1" w:rsidP="00F67DF1">
      <w:pPr>
        <w:numPr>
          <w:ilvl w:val="0"/>
          <w:numId w:val="4"/>
        </w:numPr>
        <w:shd w:val="clear" w:color="auto" w:fill="FFFFFF"/>
        <w:tabs>
          <w:tab w:val="clear" w:pos="720"/>
          <w:tab w:val="num" w:pos="1418"/>
        </w:tabs>
        <w:spacing w:after="0" w:line="315" w:lineRule="atLeast"/>
        <w:ind w:left="1418" w:right="1229" w:hanging="284"/>
        <w:rPr>
          <w:rFonts w:cs="Arial"/>
          <w:i/>
          <w:color w:val="000000"/>
        </w:rPr>
      </w:pPr>
      <w:r w:rsidRPr="00754250">
        <w:rPr>
          <w:rFonts w:cs="Arial"/>
          <w:i/>
          <w:color w:val="000000"/>
        </w:rPr>
        <w:t>Envisioning alternative approaches and possibilities for social justice (p. xvii). In other words, transformative education is teaching and learning which effects a change in perspective and frame reference (</w:t>
      </w:r>
      <w:proofErr w:type="spellStart"/>
      <w:r w:rsidRPr="00754250">
        <w:rPr>
          <w:rFonts w:cs="Arial"/>
          <w:i/>
          <w:color w:val="000000"/>
        </w:rPr>
        <w:t>Mezirow</w:t>
      </w:r>
      <w:proofErr w:type="spellEnd"/>
      <w:r w:rsidRPr="00754250">
        <w:rPr>
          <w:rFonts w:cs="Arial"/>
          <w:i/>
          <w:color w:val="000000"/>
        </w:rPr>
        <w:t>, 1996).</w:t>
      </w:r>
    </w:p>
    <w:p w:rsidR="00F67DF1" w:rsidRPr="00754250" w:rsidRDefault="00F67DF1" w:rsidP="00F67DF1">
      <w:pPr>
        <w:shd w:val="clear" w:color="auto" w:fill="FFFFFF"/>
        <w:tabs>
          <w:tab w:val="num" w:pos="1418"/>
        </w:tabs>
        <w:spacing w:after="0" w:line="315" w:lineRule="atLeast"/>
        <w:ind w:left="1134" w:right="1229"/>
        <w:rPr>
          <w:rFonts w:cs="Arial"/>
          <w:i/>
          <w:color w:val="000000"/>
        </w:rPr>
      </w:pPr>
      <w:r w:rsidRPr="00754250">
        <w:rPr>
          <w:rFonts w:cs="Arial"/>
          <w:i/>
          <w:color w:val="000000"/>
        </w:rPr>
        <w:t>Further, transformative education and learning as it is practised today places increasing emphasis on shifts taking place ontologically as well as epistemologically, so learners become actively engaged in new avenues for social justice (Garde-Hansen &amp; Calvert, 2004)."</w:t>
      </w:r>
    </w:p>
    <w:p w:rsidR="00F67DF1" w:rsidRPr="00754250" w:rsidRDefault="00F67DF1" w:rsidP="00F67DF1">
      <w:pPr>
        <w:pStyle w:val="NormalWeb"/>
        <w:shd w:val="clear" w:color="auto" w:fill="FFFFFF"/>
        <w:spacing w:before="0" w:beforeAutospacing="0" w:after="0" w:afterAutospacing="0" w:line="315" w:lineRule="atLeast"/>
        <w:ind w:left="851" w:right="1229"/>
        <w:jc w:val="right"/>
        <w:rPr>
          <w:rFonts w:asciiTheme="minorHAnsi" w:hAnsiTheme="minorHAnsi" w:cs="Arial"/>
          <w:color w:val="000000"/>
          <w:sz w:val="22"/>
          <w:szCs w:val="22"/>
        </w:rPr>
      </w:pPr>
      <w:r w:rsidRPr="00754250">
        <w:rPr>
          <w:rFonts w:asciiTheme="minorHAnsi" w:hAnsiTheme="minorHAnsi" w:cs="Arial"/>
          <w:color w:val="000000"/>
          <w:sz w:val="22"/>
          <w:szCs w:val="22"/>
        </w:rPr>
        <w:t xml:space="preserve">http://www.teaching4change.edu.au/node/4 </w:t>
      </w:r>
    </w:p>
    <w:p w:rsidR="00F67DF1" w:rsidRPr="00AF3815" w:rsidRDefault="00F67DF1" w:rsidP="00F67DF1">
      <w:pPr>
        <w:pStyle w:val="NormalWeb"/>
        <w:shd w:val="clear" w:color="auto" w:fill="FFFFFF"/>
        <w:spacing w:before="0" w:beforeAutospacing="0" w:after="0" w:afterAutospacing="0" w:line="315" w:lineRule="atLeast"/>
        <w:ind w:left="851" w:right="1229"/>
        <w:rPr>
          <w:rFonts w:ascii="Arial" w:hAnsi="Arial" w:cs="Arial"/>
          <w:color w:val="000000"/>
          <w:sz w:val="21"/>
          <w:szCs w:val="21"/>
        </w:rPr>
      </w:pPr>
    </w:p>
    <w:p w:rsidR="00E047B1" w:rsidRDefault="00E047B1" w:rsidP="00F67DF1">
      <w:pPr>
        <w:pStyle w:val="BodyText"/>
      </w:pPr>
      <w:r>
        <w:t xml:space="preserve">This approach is vital for achieving the principle outcomes of the programs supporting the project.  A key outcome of </w:t>
      </w:r>
      <w:r w:rsidR="002E4BE4">
        <w:t>a</w:t>
      </w:r>
      <w:r>
        <w:t xml:space="preserve"> transformative</w:t>
      </w:r>
      <w:r w:rsidR="002E4BE4">
        <w:t xml:space="preserve"> training</w:t>
      </w:r>
      <w:r>
        <w:t xml:space="preserve"> program </w:t>
      </w:r>
      <w:r w:rsidR="002E4BE4">
        <w:t xml:space="preserve">as </w:t>
      </w:r>
      <w:r>
        <w:t xml:space="preserve">proposed here is that participants will recognize that their existing personal knowledge has </w:t>
      </w:r>
      <w:r w:rsidR="002E4BE4">
        <w:t xml:space="preserve">contemporary practical and </w:t>
      </w:r>
      <w:r>
        <w:t>academic value and that the cultural understandings of fire and emergency management also carry weight in the wider community.</w:t>
      </w:r>
    </w:p>
    <w:p w:rsidR="00E047B1" w:rsidRDefault="00E047B1" w:rsidP="00F67DF1">
      <w:pPr>
        <w:pStyle w:val="BodyText"/>
      </w:pPr>
      <w:r>
        <w:t>For the BNHCRC program, the development of improved understanding of BNH, the role the individual and community play in its management and the mapping of new knowledge on to existing cognitive constructions means that this transformative training will contribute directly to the enhancement of community resilience among participants.</w:t>
      </w:r>
    </w:p>
    <w:p w:rsidR="00F67DF1" w:rsidRDefault="00E047B1" w:rsidP="00F67DF1">
      <w:pPr>
        <w:pStyle w:val="BodyText"/>
      </w:pPr>
      <w:r>
        <w:t>Taking this into account, t</w:t>
      </w:r>
      <w:r w:rsidR="00F67DF1" w:rsidRPr="007C62F0">
        <w:t xml:space="preserve">he learning culture that is created is vital for successful delivery of these units. Ideally, the delivery context will encourage participants to be actively engaged in an </w:t>
      </w:r>
      <w:r w:rsidR="00F67DF1">
        <w:t>interrogation</w:t>
      </w:r>
      <w:r w:rsidR="00F67DF1" w:rsidRPr="007C62F0">
        <w:t>, not just of the knowledge and methods required to undertake BNH management but perhaps more importantly, their</w:t>
      </w:r>
      <w:r w:rsidR="00F67DF1">
        <w:t xml:space="preserve"> own knowledge and</w:t>
      </w:r>
      <w:r w:rsidR="00F67DF1" w:rsidRPr="007C62F0">
        <w:t xml:space="preserve"> assumptions about the natural landscape, fire management and emergency response. </w:t>
      </w:r>
      <w:r w:rsidR="00F67DF1">
        <w:t>While Indigenous kn</w:t>
      </w:r>
      <w:r>
        <w:t>owledge is increasingly recogniz</w:t>
      </w:r>
      <w:r w:rsidR="00F67DF1">
        <w:t xml:space="preserve">ed as of value in management of 'country', </w:t>
      </w:r>
      <w:r>
        <w:t>a much more detailed and organiz</w:t>
      </w:r>
      <w:r w:rsidR="00F67DF1">
        <w:t xml:space="preserve">ed use of this knowledge and how to apply it in the 21st century is required following significant shifts in the ecological nature and </w:t>
      </w:r>
      <w:r w:rsidR="00F67DF1">
        <w:lastRenderedPageBreak/>
        <w:t xml:space="preserve">challenges that constitute the </w:t>
      </w:r>
      <w:r>
        <w:t xml:space="preserve">north </w:t>
      </w:r>
      <w:r w:rsidR="00F67DF1">
        <w:t xml:space="preserve">Australian environment. </w:t>
      </w:r>
      <w:r w:rsidR="00F67DF1" w:rsidRPr="007C62F0">
        <w:t xml:space="preserve">The </w:t>
      </w:r>
      <w:proofErr w:type="gramStart"/>
      <w:r w:rsidR="00F67DF1" w:rsidRPr="007C62F0">
        <w:t>course</w:t>
      </w:r>
      <w:proofErr w:type="gramEnd"/>
      <w:r w:rsidR="00F67DF1" w:rsidRPr="007C62F0">
        <w:t xml:space="preserve"> therefore, guides a process of </w:t>
      </w:r>
      <w:r>
        <w:t>‘meaning-</w:t>
      </w:r>
      <w:r w:rsidR="00F67DF1" w:rsidRPr="007C62F0">
        <w:t>making</w:t>
      </w:r>
      <w:r>
        <w:t>’</w:t>
      </w:r>
      <w:r w:rsidR="00F67DF1" w:rsidRPr="007C62F0">
        <w:t xml:space="preserve"> where the participants can enrich learning by contributing new understandings that </w:t>
      </w:r>
      <w:r>
        <w:t>sponsor</w:t>
      </w:r>
      <w:r w:rsidR="00F67DF1" w:rsidRPr="007C62F0">
        <w:t xml:space="preserve"> development of a paradigm of thinking and acting that is shared</w:t>
      </w:r>
      <w:r w:rsidR="00F67DF1">
        <w:t>,</w:t>
      </w:r>
      <w:r w:rsidR="00F67DF1" w:rsidRPr="007C62F0">
        <w:t xml:space="preserve"> and </w:t>
      </w:r>
      <w:r w:rsidR="00F67DF1">
        <w:t>which</w:t>
      </w:r>
      <w:r w:rsidR="00F67DF1" w:rsidRPr="007C62F0">
        <w:t xml:space="preserve"> allows application of content in new ways.</w:t>
      </w:r>
    </w:p>
    <w:p w:rsidR="00984005" w:rsidRDefault="00EF1CE3" w:rsidP="00F67DF1">
      <w:pPr>
        <w:pStyle w:val="BodyText"/>
      </w:pPr>
      <w:r>
        <w:t xml:space="preserve">The first unit </w:t>
      </w:r>
      <w:r w:rsidRPr="00EF1CE3">
        <w:rPr>
          <w:i/>
        </w:rPr>
        <w:t>TETBNH301 Indigenous and Non- Indigenous BNH Management Principles</w:t>
      </w:r>
      <w:r w:rsidRPr="00EF1CE3">
        <w:t xml:space="preserve"> </w:t>
      </w:r>
      <w:r>
        <w:t xml:space="preserve">is designed to begin the process of creating a new shared world view for participants. It promotes understanding of the historical context of current thinking </w:t>
      </w:r>
      <w:r w:rsidR="002E4BE4">
        <w:t xml:space="preserve">about Australia as a context for bushfires and natural hazards </w:t>
      </w:r>
      <w:r>
        <w:t>and establishes traditional knowledge at the centre of future management approaches</w:t>
      </w:r>
      <w:r w:rsidR="002E4BE4">
        <w:t xml:space="preserve"> in north Australia</w:t>
      </w:r>
      <w:r>
        <w:t xml:space="preserve">. This is followed by the second unit </w:t>
      </w:r>
      <w:r w:rsidRPr="00EF1CE3">
        <w:rPr>
          <w:i/>
        </w:rPr>
        <w:t xml:space="preserve">TETBNH302 </w:t>
      </w:r>
      <w:r w:rsidR="002E4BE4" w:rsidRPr="002E4BE4">
        <w:rPr>
          <w:i/>
          <w:lang w:val="en-AU"/>
        </w:rPr>
        <w:t>Applying Indigenous Fire Management Processes in North Australian Contexts</w:t>
      </w:r>
      <w:r w:rsidRPr="00EF1CE3">
        <w:rPr>
          <w:i/>
        </w:rPr>
        <w:t xml:space="preserve"> </w:t>
      </w:r>
      <w:r>
        <w:t xml:space="preserve">which looks at how this way of thinking informs and taps into current practices that successfully use </w:t>
      </w:r>
      <w:r w:rsidR="002E4BE4">
        <w:t>a BNH management approach predicated on traditional indigenous knowledge</w:t>
      </w:r>
      <w:r>
        <w:t xml:space="preserve">. All units in the course encourage learning that is </w:t>
      </w:r>
      <w:r w:rsidR="004A4422">
        <w:t>contextualized so that each person develops a shared cross-cultural world view that is intimately linked to their own particular practice as BNH manage</w:t>
      </w:r>
      <w:r w:rsidR="005C604D">
        <w:t>rs within their specific organiz</w:t>
      </w:r>
      <w:r w:rsidR="004A4422">
        <w:t>ation/community.</w:t>
      </w:r>
    </w:p>
    <w:p w:rsidR="00EF1CE3" w:rsidRPr="00EF1CE3" w:rsidRDefault="00984005" w:rsidP="00F67DF1">
      <w:pPr>
        <w:pStyle w:val="BodyText"/>
        <w:rPr>
          <w:color w:val="FF0000"/>
        </w:rPr>
      </w:pPr>
      <w:r>
        <w:t xml:space="preserve">Delivery of units is designed to be interconnected </w:t>
      </w:r>
      <w:r w:rsidR="005C48C9">
        <w:t>to allow</w:t>
      </w:r>
      <w:r>
        <w:t xml:space="preserve"> </w:t>
      </w:r>
      <w:r w:rsidR="005C48C9">
        <w:t xml:space="preserve">activities and assessment tasks </w:t>
      </w:r>
      <w:r w:rsidR="007B1CAE">
        <w:t>to</w:t>
      </w:r>
      <w:r w:rsidR="005C48C9">
        <w:t xml:space="preserve"> be </w:t>
      </w:r>
      <w:r w:rsidR="007B1CAE">
        <w:t>part of a real application, rather than simulation, of these skills and where possible be embedded in regular land management activities performed as part of caring for country or other paid and unpaid work.</w:t>
      </w:r>
    </w:p>
    <w:p w:rsidR="00F67DF1" w:rsidRPr="0005019B" w:rsidRDefault="00F67DF1" w:rsidP="0005019B">
      <w:pPr>
        <w:pStyle w:val="Heading1"/>
      </w:pPr>
      <w:bookmarkStart w:id="8" w:name="_Toc40268218"/>
      <w:r w:rsidRPr="0005019B">
        <w:t>TRAINING MATERIALS</w:t>
      </w:r>
      <w:bookmarkEnd w:id="8"/>
    </w:p>
    <w:p w:rsidR="00F67DF1" w:rsidRDefault="00F67DF1" w:rsidP="00F67DF1">
      <w:pPr>
        <w:pStyle w:val="BodyText"/>
      </w:pPr>
      <w:r>
        <w:t>In addition to th</w:t>
      </w:r>
      <w:r w:rsidR="002E4BE4">
        <w:t>is</w:t>
      </w:r>
      <w:r>
        <w:t xml:space="preserve"> Training Manual, the package consists of the following:</w:t>
      </w:r>
    </w:p>
    <w:p w:rsidR="00F67DF1" w:rsidRDefault="00F67DF1" w:rsidP="00F67DF1">
      <w:pPr>
        <w:pStyle w:val="BodyText"/>
        <w:numPr>
          <w:ilvl w:val="0"/>
          <w:numId w:val="3"/>
        </w:numPr>
      </w:pPr>
      <w:r>
        <w:t>Unit Descriptions</w:t>
      </w:r>
    </w:p>
    <w:p w:rsidR="00F67DF1" w:rsidRDefault="00F67DF1" w:rsidP="00F67DF1">
      <w:pPr>
        <w:pStyle w:val="BodyText"/>
        <w:numPr>
          <w:ilvl w:val="0"/>
          <w:numId w:val="3"/>
        </w:numPr>
      </w:pPr>
      <w:r>
        <w:t>Power Point Presentations</w:t>
      </w:r>
    </w:p>
    <w:p w:rsidR="00F67DF1" w:rsidRDefault="00F67DF1" w:rsidP="00F67DF1">
      <w:pPr>
        <w:pStyle w:val="BodyText"/>
        <w:numPr>
          <w:ilvl w:val="0"/>
          <w:numId w:val="3"/>
        </w:numPr>
      </w:pPr>
      <w:r>
        <w:t xml:space="preserve">Suggested Assessment Tasks </w:t>
      </w:r>
    </w:p>
    <w:p w:rsidR="00F67DF1" w:rsidRDefault="00F67DF1" w:rsidP="00F67DF1">
      <w:pPr>
        <w:pStyle w:val="BodyText"/>
        <w:numPr>
          <w:ilvl w:val="0"/>
          <w:numId w:val="3"/>
        </w:numPr>
      </w:pPr>
      <w:r>
        <w:t>Suggested Activities</w:t>
      </w:r>
    </w:p>
    <w:p w:rsidR="00F67DF1" w:rsidRPr="00EC413D" w:rsidRDefault="00F67DF1" w:rsidP="00F67DF1">
      <w:pPr>
        <w:pStyle w:val="BodyText"/>
        <w:numPr>
          <w:ilvl w:val="0"/>
          <w:numId w:val="3"/>
        </w:numPr>
      </w:pPr>
      <w:r>
        <w:t>Resource Materials to support delivery</w:t>
      </w:r>
    </w:p>
    <w:p w:rsidR="00F67DF1" w:rsidRPr="00EC413D" w:rsidRDefault="00F67DF1" w:rsidP="00E707AD">
      <w:pPr>
        <w:pStyle w:val="Heading2"/>
      </w:pPr>
      <w:bookmarkStart w:id="9" w:name="_Toc40268219"/>
      <w:r w:rsidRPr="00EC413D">
        <w:t>UNIT DESCRIPTIONS</w:t>
      </w:r>
      <w:bookmarkEnd w:id="9"/>
    </w:p>
    <w:p w:rsidR="00F67DF1" w:rsidRDefault="00F67DF1" w:rsidP="00F67DF1">
      <w:pPr>
        <w:pStyle w:val="BodyText"/>
      </w:pPr>
      <w:r>
        <w:t>The Unit Descriptions have been modeled on VET Training Packages for a number of reasons. Firstly, this format is familiar to both training deliverers but also students working in the BNH sector. A key objective of the project has been to provide entry into tertiary education pathways particularly Higher Education. This continues to be an elusive goal for many Indigenous people living in remote areas. These materials will open up opportunities for career and education relevant to their location and existing cultural and social responsibil</w:t>
      </w:r>
      <w:r w:rsidR="00B97E70">
        <w:t xml:space="preserve">ities, allowing them to stay on </w:t>
      </w:r>
      <w:r>
        <w:t>country AND participate in employment and enterprise development that is relevant to, and supports maintenance of, indigenous culture and language.</w:t>
      </w:r>
    </w:p>
    <w:p w:rsidR="00F67DF1" w:rsidRPr="003B2EE4" w:rsidRDefault="00F67DF1" w:rsidP="00E707AD">
      <w:pPr>
        <w:pStyle w:val="Heading2"/>
      </w:pPr>
      <w:bookmarkStart w:id="10" w:name="_Toc40268220"/>
      <w:r w:rsidRPr="003B2EE4">
        <w:t>UNIT CODE</w:t>
      </w:r>
      <w:r>
        <w:t>S</w:t>
      </w:r>
      <w:bookmarkEnd w:id="10"/>
    </w:p>
    <w:p w:rsidR="00F67DF1" w:rsidRDefault="00F67DF1" w:rsidP="00F67DF1">
      <w:pPr>
        <w:pStyle w:val="BodyText"/>
      </w:pPr>
      <w:r w:rsidRPr="003B2EE4">
        <w:rPr>
          <w:b/>
        </w:rPr>
        <w:t xml:space="preserve">TETBNH </w:t>
      </w:r>
      <w:r>
        <w:t xml:space="preserve">- The unit code is an acronym for </w:t>
      </w:r>
      <w:r w:rsidRPr="00347B54">
        <w:rPr>
          <w:i/>
        </w:rPr>
        <w:t>Top End Training for Bushfire Natural Hazard Management</w:t>
      </w:r>
      <w:r>
        <w:t xml:space="preserve">. </w:t>
      </w:r>
    </w:p>
    <w:p w:rsidR="00F67DF1" w:rsidRDefault="00F67DF1" w:rsidP="00F67DF1">
      <w:pPr>
        <w:pStyle w:val="BodyText"/>
      </w:pPr>
      <w:r w:rsidRPr="00542E81">
        <w:rPr>
          <w:b/>
        </w:rPr>
        <w:t>301, 302 etc.</w:t>
      </w:r>
      <w:r>
        <w:t xml:space="preserve"> - The number 3 refers to the VET Certificate level targeted for the courses when accreditation is sought in the future, to facilitate mapping of these courses for VET and HE pathways. The other numbers refer to the unit's place in the course sequence.</w:t>
      </w:r>
    </w:p>
    <w:p w:rsidR="00F67DF1" w:rsidRDefault="00F67DF1" w:rsidP="00E707AD">
      <w:pPr>
        <w:pStyle w:val="Heading2"/>
      </w:pPr>
      <w:bookmarkStart w:id="11" w:name="_Toc40268221"/>
      <w:r>
        <w:t>POWER POINT PRESENTATIONS</w:t>
      </w:r>
      <w:bookmarkEnd w:id="11"/>
      <w:r>
        <w:t xml:space="preserve"> </w:t>
      </w:r>
    </w:p>
    <w:p w:rsidR="00F67DF1" w:rsidRDefault="00F67DF1" w:rsidP="00F67DF1">
      <w:pPr>
        <w:pStyle w:val="BodyText"/>
      </w:pPr>
      <w:r>
        <w:lastRenderedPageBreak/>
        <w:t>The primary delivery resource</w:t>
      </w:r>
      <w:r w:rsidR="003455D1">
        <w:t>s are the PowerP</w:t>
      </w:r>
      <w:r>
        <w:t>oint</w:t>
      </w:r>
      <w:r w:rsidR="003455D1">
        <w:t>™ presentations. These provide</w:t>
      </w:r>
      <w:r>
        <w:t xml:space="preserve"> a foundation for the development of a program that can be tailored to the client group. They are designed to identify the key type of information that needs to be delivered and</w:t>
      </w:r>
      <w:r w:rsidR="003455D1">
        <w:t>,</w:t>
      </w:r>
      <w:r>
        <w:t xml:space="preserve"> perhaps more importantly</w:t>
      </w:r>
      <w:r w:rsidR="003455D1">
        <w:t>,</w:t>
      </w:r>
      <w:r>
        <w:t xml:space="preserve"> the paradigm for delivery required.</w:t>
      </w:r>
    </w:p>
    <w:p w:rsidR="00F67DF1" w:rsidRPr="00FD2F79" w:rsidRDefault="00706D56" w:rsidP="00E707AD">
      <w:pPr>
        <w:pStyle w:val="Heading2"/>
      </w:pPr>
      <w:bookmarkStart w:id="12" w:name="_Toc40268222"/>
      <w:r>
        <w:t>ASSESSMENT TASKS</w:t>
      </w:r>
      <w:bookmarkEnd w:id="12"/>
    </w:p>
    <w:p w:rsidR="00F67DF1" w:rsidRDefault="00F67DF1" w:rsidP="00F67DF1">
      <w:pPr>
        <w:pStyle w:val="BodyText"/>
      </w:pPr>
      <w:r>
        <w:t>Assessment must focus on the participants</w:t>
      </w:r>
      <w:r w:rsidR="00B97E70">
        <w:t>'</w:t>
      </w:r>
      <w:r>
        <w:t xml:space="preserve"> capacity to undertake the work of BNH management and therefore needs to be tailored to the group's learning preferences. It is essential that expectations about delivery mode, English language proficiency and any other factors do not limit their ability to successfully </w:t>
      </w:r>
      <w:r w:rsidR="00B97E70">
        <w:t>demonstrate achievement of learning objectives and readiness to work in the BNH/EFM sector</w:t>
      </w:r>
      <w:r>
        <w:t xml:space="preserve">. Assessment tasks provide direction about options for successful </w:t>
      </w:r>
      <w:proofErr w:type="gramStart"/>
      <w:r>
        <w:t>completion</w:t>
      </w:r>
      <w:proofErr w:type="gramEnd"/>
      <w:r>
        <w:t xml:space="preserve"> but it remains the responsibility of the training provider to ensure the learning has occurred and to facilitate participant's ability to demonstrate their learning.</w:t>
      </w:r>
    </w:p>
    <w:p w:rsidR="00EB3627" w:rsidRDefault="00EB3627">
      <w:pPr>
        <w:rPr>
          <w:b/>
          <w:lang w:val="en-US"/>
        </w:rPr>
      </w:pPr>
      <w:r>
        <w:rPr>
          <w:b/>
        </w:rPr>
        <w:br w:type="page"/>
      </w:r>
    </w:p>
    <w:p w:rsidR="00F67DF1" w:rsidRPr="00207480" w:rsidRDefault="00706D56" w:rsidP="00E707AD">
      <w:pPr>
        <w:pStyle w:val="Heading2"/>
      </w:pPr>
      <w:bookmarkStart w:id="13" w:name="_Toc40268223"/>
      <w:r w:rsidRPr="00207480">
        <w:lastRenderedPageBreak/>
        <w:t>ACTIVITIES</w:t>
      </w:r>
      <w:bookmarkEnd w:id="13"/>
      <w:r w:rsidRPr="00207480">
        <w:t xml:space="preserve"> </w:t>
      </w:r>
    </w:p>
    <w:p w:rsidR="00F67DF1" w:rsidRDefault="00F67DF1" w:rsidP="00F67DF1">
      <w:pPr>
        <w:pStyle w:val="BodyText"/>
      </w:pPr>
      <w:r>
        <w:t>Activities are an important means of deepening learning and also provide opportunities for more detailed assessment. They have been included to promote deeper learning and to break up the otherwise passive delivery process that has</w:t>
      </w:r>
      <w:r w:rsidR="003455D1">
        <w:t xml:space="preserve"> been referred to as "death by PowerP</w:t>
      </w:r>
      <w:r>
        <w:t>oint". As with other resources in the package the training provider needs to be mindful of how they use the activities to best advantage.</w:t>
      </w:r>
      <w:r w:rsidR="002E4BE4">
        <w:t xml:space="preserve"> As stated above, the activities are suggestions. In the absence of a better idea the training provider might use the activities precisely as presented. But in the local context and through pre-engagement with local traditional owners, the activities may be further developed</w:t>
      </w:r>
      <w:r w:rsidR="00166C23">
        <w:t xml:space="preserve"> to accentuate the receptiveness of trainees.</w:t>
      </w:r>
    </w:p>
    <w:p w:rsidR="00F67DF1" w:rsidRPr="0005019B" w:rsidRDefault="00706D56" w:rsidP="0005019B">
      <w:pPr>
        <w:pStyle w:val="Heading2"/>
      </w:pPr>
      <w:bookmarkStart w:id="14" w:name="_Toc40268224"/>
      <w:r w:rsidRPr="0005019B">
        <w:t>RESOURCE MATERIALS</w:t>
      </w:r>
      <w:bookmarkEnd w:id="14"/>
    </w:p>
    <w:p w:rsidR="00F67DF1" w:rsidRDefault="00F67DF1" w:rsidP="00F67DF1">
      <w:pPr>
        <w:pStyle w:val="BodyText"/>
      </w:pPr>
      <w:r>
        <w:t>Through the development process a collection of resources have been located that are both up to date and specifically relevant to the original course version. As with any educational delivery continual updating will need to occur.</w:t>
      </w:r>
    </w:p>
    <w:p w:rsidR="00335287" w:rsidRPr="00335287" w:rsidRDefault="00166C23" w:rsidP="00335287">
      <w:pPr>
        <w:pStyle w:val="NormalWeb"/>
        <w:spacing w:before="120" w:beforeAutospacing="0" w:after="120" w:afterAutospacing="0"/>
        <w:rPr>
          <w:rFonts w:asciiTheme="minorHAnsi" w:hAnsiTheme="minorHAnsi"/>
          <w:sz w:val="22"/>
          <w:szCs w:val="22"/>
        </w:rPr>
      </w:pPr>
      <w:r>
        <w:rPr>
          <w:rFonts w:asciiTheme="minorHAnsi" w:hAnsiTheme="minorHAnsi"/>
          <w:sz w:val="22"/>
          <w:szCs w:val="22"/>
        </w:rPr>
        <w:t>R</w:t>
      </w:r>
      <w:r w:rsidR="00335287" w:rsidRPr="00335287">
        <w:rPr>
          <w:rFonts w:asciiTheme="minorHAnsi" w:hAnsiTheme="minorHAnsi"/>
          <w:sz w:val="22"/>
          <w:szCs w:val="22"/>
        </w:rPr>
        <w:t xml:space="preserve">esources relevant to </w:t>
      </w:r>
      <w:r>
        <w:rPr>
          <w:rFonts w:asciiTheme="minorHAnsi" w:hAnsiTheme="minorHAnsi"/>
          <w:sz w:val="22"/>
          <w:szCs w:val="22"/>
        </w:rPr>
        <w:t xml:space="preserve">some </w:t>
      </w:r>
      <w:r w:rsidR="00335287" w:rsidRPr="00335287">
        <w:rPr>
          <w:rFonts w:asciiTheme="minorHAnsi" w:hAnsiTheme="minorHAnsi"/>
          <w:sz w:val="22"/>
          <w:szCs w:val="22"/>
        </w:rPr>
        <w:t>unit</w:t>
      </w:r>
      <w:r>
        <w:rPr>
          <w:rFonts w:asciiTheme="minorHAnsi" w:hAnsiTheme="minorHAnsi"/>
          <w:sz w:val="22"/>
          <w:szCs w:val="22"/>
        </w:rPr>
        <w:t>s</w:t>
      </w:r>
      <w:r w:rsidR="00335287" w:rsidRPr="00335287">
        <w:rPr>
          <w:rFonts w:asciiTheme="minorHAnsi" w:hAnsiTheme="minorHAnsi"/>
          <w:sz w:val="22"/>
          <w:szCs w:val="22"/>
        </w:rPr>
        <w:t xml:space="preserve"> have been provided. </w:t>
      </w:r>
      <w:r>
        <w:rPr>
          <w:rFonts w:asciiTheme="minorHAnsi" w:hAnsiTheme="minorHAnsi"/>
          <w:sz w:val="22"/>
          <w:szCs w:val="22"/>
        </w:rPr>
        <w:t xml:space="preserve">These are located in the </w:t>
      </w:r>
      <w:r w:rsidR="00335287" w:rsidRPr="00335287">
        <w:rPr>
          <w:rFonts w:asciiTheme="minorHAnsi" w:hAnsiTheme="minorHAnsi"/>
          <w:sz w:val="22"/>
          <w:szCs w:val="22"/>
        </w:rPr>
        <w:t xml:space="preserve">folder entitled </w:t>
      </w:r>
      <w:r w:rsidR="003455D1">
        <w:rPr>
          <w:rFonts w:asciiTheme="minorHAnsi" w:hAnsiTheme="minorHAnsi"/>
          <w:sz w:val="22"/>
          <w:szCs w:val="22"/>
        </w:rPr>
        <w:t>“</w:t>
      </w:r>
      <w:r w:rsidR="00335287" w:rsidRPr="00335287">
        <w:rPr>
          <w:rFonts w:asciiTheme="minorHAnsi" w:hAnsiTheme="minorHAnsi"/>
          <w:sz w:val="22"/>
          <w:szCs w:val="22"/>
        </w:rPr>
        <w:t>Support Materials</w:t>
      </w:r>
      <w:r w:rsidR="003455D1">
        <w:rPr>
          <w:rFonts w:asciiTheme="minorHAnsi" w:hAnsiTheme="minorHAnsi"/>
          <w:sz w:val="22"/>
          <w:szCs w:val="22"/>
        </w:rPr>
        <w:t>”</w:t>
      </w:r>
      <w:r w:rsidR="00335287" w:rsidRPr="00335287">
        <w:rPr>
          <w:rFonts w:asciiTheme="minorHAnsi" w:hAnsiTheme="minorHAnsi"/>
          <w:sz w:val="22"/>
          <w:szCs w:val="22"/>
        </w:rPr>
        <w:t xml:space="preserve">. Resources relevant </w:t>
      </w:r>
      <w:r w:rsidR="00335287">
        <w:rPr>
          <w:rFonts w:asciiTheme="minorHAnsi" w:hAnsiTheme="minorHAnsi"/>
          <w:sz w:val="22"/>
          <w:szCs w:val="22"/>
        </w:rPr>
        <w:t xml:space="preserve">to that unit </w:t>
      </w:r>
      <w:r w:rsidR="00335287" w:rsidRPr="00335287">
        <w:rPr>
          <w:rFonts w:asciiTheme="minorHAnsi" w:hAnsiTheme="minorHAnsi"/>
          <w:sz w:val="22"/>
          <w:szCs w:val="22"/>
        </w:rPr>
        <w:t>are stored in this folder. Other resources are provided in the Power Point Presentations prepared for each unit. These are listed in the NOTES attached to each slide and provide specific relevant detail for use if required.</w:t>
      </w:r>
    </w:p>
    <w:p w:rsidR="00F67DF1" w:rsidRDefault="00335287" w:rsidP="00F67DF1">
      <w:pPr>
        <w:pStyle w:val="BodyText"/>
      </w:pPr>
      <w:r>
        <w:t>R</w:t>
      </w:r>
      <w:r w:rsidR="00F67DF1">
        <w:t xml:space="preserve">esources such as the film clips have been created specifically for these units. In some </w:t>
      </w:r>
      <w:proofErr w:type="gramStart"/>
      <w:r w:rsidR="00F67DF1">
        <w:t>cases</w:t>
      </w:r>
      <w:proofErr w:type="gramEnd"/>
      <w:r w:rsidR="00F67DF1">
        <w:t xml:space="preserve"> they represent a unique capture of research and experience giving insight into cutting edge approaches that have effected huge improvements in BNH management founded on an evolving cross-cultural collaborative process. As such they capture the subtleties of the world view of future BNH management needed to make the most of opportunities in remote Australia to "do a better job".</w:t>
      </w:r>
    </w:p>
    <w:p w:rsidR="00F67DF1" w:rsidRDefault="00335287" w:rsidP="00F67DF1">
      <w:pPr>
        <w:pStyle w:val="BodyText"/>
        <w:tabs>
          <w:tab w:val="left" w:pos="0"/>
        </w:tabs>
      </w:pPr>
      <w:r>
        <w:rPr>
          <w:noProof/>
          <w:lang w:val="en-AU" w:eastAsia="en-AU"/>
        </w:rPr>
        <w:drawing>
          <wp:anchor distT="0" distB="0" distL="114300" distR="114300" simplePos="0" relativeHeight="251670528" behindDoc="1" locked="0" layoutInCell="1" allowOverlap="1">
            <wp:simplePos x="0" y="0"/>
            <wp:positionH relativeFrom="column">
              <wp:posOffset>381000</wp:posOffset>
            </wp:positionH>
            <wp:positionV relativeFrom="paragraph">
              <wp:posOffset>295910</wp:posOffset>
            </wp:positionV>
            <wp:extent cx="1657350" cy="2152650"/>
            <wp:effectExtent l="19050" t="0" r="0" b="0"/>
            <wp:wrapTight wrapText="bothSides">
              <wp:wrapPolygon edited="0">
                <wp:start x="-248" y="0"/>
                <wp:lineTo x="-248" y="21409"/>
                <wp:lineTo x="21600" y="21409"/>
                <wp:lineTo x="21600" y="0"/>
                <wp:lineTo x="-248"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57350" cy="2152650"/>
                    </a:xfrm>
                    <a:prstGeom prst="rect">
                      <a:avLst/>
                    </a:prstGeom>
                    <a:noFill/>
                    <a:ln w="9525">
                      <a:noFill/>
                      <a:miter lim="800000"/>
                      <a:headEnd/>
                      <a:tailEnd/>
                    </a:ln>
                  </pic:spPr>
                </pic:pic>
              </a:graphicData>
            </a:graphic>
          </wp:anchor>
        </w:drawing>
      </w:r>
    </w:p>
    <w:p w:rsidR="00335287" w:rsidRDefault="00F02041" w:rsidP="00F67DF1">
      <w:pPr>
        <w:pStyle w:val="BodyText"/>
        <w:tabs>
          <w:tab w:val="left" w:pos="0"/>
        </w:tabs>
      </w:pPr>
      <w:r>
        <w:rPr>
          <w:noProof/>
          <w:lang w:val="en-AU" w:eastAsia="en-AU"/>
        </w:rPr>
        <mc:AlternateContent>
          <mc:Choice Requires="wps">
            <w:drawing>
              <wp:anchor distT="0" distB="0" distL="114300" distR="114300" simplePos="0" relativeHeight="251675648" behindDoc="0" locked="0" layoutInCell="1" allowOverlap="1">
                <wp:simplePos x="0" y="0"/>
                <wp:positionH relativeFrom="column">
                  <wp:posOffset>2258060</wp:posOffset>
                </wp:positionH>
                <wp:positionV relativeFrom="paragraph">
                  <wp:posOffset>181610</wp:posOffset>
                </wp:positionV>
                <wp:extent cx="2287905" cy="106934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7905" cy="106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5CF" w:rsidRPr="00560CBE" w:rsidRDefault="005F35CF">
                            <w:pPr>
                              <w:rPr>
                                <w:rFonts w:ascii="Segoe Print" w:hAnsi="Segoe Print"/>
                                <w:color w:val="943634" w:themeColor="accent2" w:themeShade="BF"/>
                              </w:rPr>
                            </w:pPr>
                            <w:r w:rsidRPr="00560CBE">
                              <w:rPr>
                                <w:rFonts w:ascii="Segoe Print" w:hAnsi="Segoe Print"/>
                                <w:color w:val="943634" w:themeColor="accent2" w:themeShade="BF"/>
                              </w:rPr>
                              <w:t xml:space="preserve">A Ranger using </w:t>
                            </w:r>
                            <w:proofErr w:type="spellStart"/>
                            <w:r w:rsidRPr="00560CBE">
                              <w:rPr>
                                <w:rFonts w:ascii="Segoe Print" w:hAnsi="Segoe Print"/>
                                <w:color w:val="943634" w:themeColor="accent2" w:themeShade="BF"/>
                              </w:rPr>
                              <w:t>ITracker</w:t>
                            </w:r>
                            <w:proofErr w:type="spellEnd"/>
                            <w:r w:rsidRPr="00560CBE">
                              <w:rPr>
                                <w:rFonts w:ascii="Segoe Print" w:hAnsi="Segoe Print"/>
                                <w:color w:val="943634" w:themeColor="accent2" w:themeShade="BF"/>
                              </w:rPr>
                              <w:t xml:space="preserve"> in the field during the KLC Ranger Forum 2011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77.8pt;margin-top:14.3pt;width:180.15pt;height:84.2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" stroked="f">
                <v:path arrowok="t"/>
                <v:textbox style="mso-fit-shape-to-text:t">
                  <w:txbxContent>
                    <w:p w:rsidR="005F35CF" w:rsidRPr="00560CBE" w:rsidRDefault="005F35CF">
                      <w:pPr>
                        <w:rPr>
                          <w:rFonts w:ascii="Segoe Print" w:hAnsi="Segoe Print"/>
                          <w:color w:val="943634" w:themeColor="accent2" w:themeShade="BF"/>
                        </w:rPr>
                      </w:pPr>
                      <w:r w:rsidRPr="00560CBE">
                        <w:rPr>
                          <w:rFonts w:ascii="Segoe Print" w:hAnsi="Segoe Print"/>
                          <w:color w:val="943634" w:themeColor="accent2" w:themeShade="BF"/>
                        </w:rPr>
                        <w:t xml:space="preserve">A Ranger using </w:t>
                      </w:r>
                      <w:proofErr w:type="spellStart"/>
                      <w:r w:rsidRPr="00560CBE">
                        <w:rPr>
                          <w:rFonts w:ascii="Segoe Print" w:hAnsi="Segoe Print"/>
                          <w:color w:val="943634" w:themeColor="accent2" w:themeShade="BF"/>
                        </w:rPr>
                        <w:t>ITracker</w:t>
                      </w:r>
                      <w:proofErr w:type="spellEnd"/>
                      <w:r w:rsidRPr="00560CBE">
                        <w:rPr>
                          <w:rFonts w:ascii="Segoe Print" w:hAnsi="Segoe Print"/>
                          <w:color w:val="943634" w:themeColor="accent2" w:themeShade="BF"/>
                        </w:rPr>
                        <w:t xml:space="preserve"> in the field during the KLC Ranger Forum 2011</w:t>
                      </w:r>
                    </w:p>
                  </w:txbxContent>
                </v:textbox>
              </v:shape>
            </w:pict>
          </mc:Fallback>
        </mc:AlternateContent>
      </w:r>
    </w:p>
    <w:p w:rsidR="00E707AD" w:rsidRDefault="00E707AD" w:rsidP="00F67DF1">
      <w:pPr>
        <w:pStyle w:val="BodyText"/>
        <w:tabs>
          <w:tab w:val="left" w:pos="0"/>
        </w:tabs>
      </w:pPr>
    </w:p>
    <w:p w:rsidR="00E707AD" w:rsidRDefault="00E707AD" w:rsidP="00F67DF1">
      <w:pPr>
        <w:pStyle w:val="BodyText"/>
        <w:tabs>
          <w:tab w:val="left" w:pos="0"/>
        </w:tabs>
      </w:pPr>
    </w:p>
    <w:p w:rsidR="00E707AD" w:rsidRDefault="00E707AD" w:rsidP="00E707AD">
      <w:pPr>
        <w:pStyle w:val="BodyText"/>
        <w:tabs>
          <w:tab w:val="left" w:pos="0"/>
        </w:tabs>
        <w:jc w:val="center"/>
        <w:sectPr w:rsidR="00E707AD" w:rsidSect="00EF1CE3">
          <w:footerReference w:type="default" r:id="rId12"/>
          <w:footerReference w:type="first" r:id="rId13"/>
          <w:pgSz w:w="11906" w:h="16838"/>
          <w:pgMar w:top="1440" w:right="1440" w:bottom="1440" w:left="1440" w:header="708" w:footer="708" w:gutter="0"/>
          <w:pgBorders w:display="firstPage" w:offsetFrom="page">
            <w:top w:val="threeDEngrave" w:sz="24" w:space="24" w:color="632423" w:themeColor="accent2" w:themeShade="80"/>
            <w:left w:val="threeDEngrave" w:sz="24" w:space="24" w:color="632423" w:themeColor="accent2" w:themeShade="80"/>
            <w:bottom w:val="threeDEngrave" w:sz="24" w:space="24" w:color="632423" w:themeColor="accent2" w:themeShade="80"/>
            <w:right w:val="threeDEngrave" w:sz="24" w:space="24" w:color="632423" w:themeColor="accent2" w:themeShade="80"/>
          </w:pgBorders>
          <w:cols w:space="708"/>
          <w:titlePg/>
          <w:docGrid w:linePitch="360"/>
        </w:sectPr>
      </w:pPr>
    </w:p>
    <w:p w:rsidR="00F67DF1" w:rsidRDefault="00F67DF1" w:rsidP="003B70B5">
      <w:pPr>
        <w:pStyle w:val="Heading1"/>
        <w:spacing w:before="0" w:after="0"/>
        <w:ind w:left="1559" w:hanging="1559"/>
        <w:jc w:val="left"/>
        <w:rPr>
          <w:color w:val="943634" w:themeColor="accent2" w:themeShade="BF"/>
        </w:rPr>
      </w:pPr>
      <w:bookmarkStart w:id="15" w:name="_Toc40268225"/>
      <w:r w:rsidRPr="0023578E">
        <w:rPr>
          <w:color w:val="943634" w:themeColor="accent2" w:themeShade="BF"/>
        </w:rPr>
        <w:lastRenderedPageBreak/>
        <w:t xml:space="preserve">TABLE 1: </w:t>
      </w:r>
      <w:r w:rsidR="00F7208E" w:rsidRPr="0023578E">
        <w:rPr>
          <w:color w:val="943634" w:themeColor="accent2" w:themeShade="BF"/>
        </w:rPr>
        <w:t>COURSE OVERVIEW - TOP END TRAINING FOR BUSHFIRE NATURAL HAZARD MANAGEMENT</w:t>
      </w:r>
      <w:bookmarkEnd w:id="15"/>
    </w:p>
    <w:tbl>
      <w:tblPr>
        <w:tblW w:w="14800" w:type="dxa"/>
        <w:tblLook w:val="04A0" w:firstRow="1" w:lastRow="0" w:firstColumn="1" w:lastColumn="0" w:noHBand="0" w:noVBand="1"/>
      </w:tblPr>
      <w:tblGrid>
        <w:gridCol w:w="1300"/>
        <w:gridCol w:w="3720"/>
        <w:gridCol w:w="3720"/>
        <w:gridCol w:w="1080"/>
        <w:gridCol w:w="1080"/>
        <w:gridCol w:w="1300"/>
        <w:gridCol w:w="1300"/>
        <w:gridCol w:w="1300"/>
      </w:tblGrid>
      <w:tr w:rsidR="00166C23" w:rsidRPr="00777A30" w:rsidTr="007204BC">
        <w:trPr>
          <w:trHeight w:val="340"/>
        </w:trPr>
        <w:tc>
          <w:tcPr>
            <w:tcW w:w="1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6C23" w:rsidRPr="00166C23" w:rsidRDefault="00166C23" w:rsidP="007204BC">
            <w:pPr>
              <w:jc w:val="center"/>
              <w:rPr>
                <w:rFonts w:ascii="Calibri" w:eastAsia="Times New Roman" w:hAnsi="Calibri" w:cs="Calibri"/>
                <w:b/>
                <w:bCs/>
                <w:color w:val="000000"/>
                <w:sz w:val="14"/>
                <w:szCs w:val="14"/>
              </w:rPr>
            </w:pPr>
            <w:r w:rsidRPr="00166C23">
              <w:rPr>
                <w:rFonts w:ascii="Calibri" w:eastAsia="Times New Roman" w:hAnsi="Calibri" w:cs="Calibri"/>
                <w:b/>
                <w:bCs/>
                <w:color w:val="000000"/>
                <w:sz w:val="14"/>
                <w:szCs w:val="14"/>
              </w:rPr>
              <w:t>UNIT CODE</w:t>
            </w:r>
          </w:p>
        </w:tc>
        <w:tc>
          <w:tcPr>
            <w:tcW w:w="3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6C23" w:rsidRPr="00166C23" w:rsidRDefault="00166C23" w:rsidP="007204BC">
            <w:pPr>
              <w:jc w:val="center"/>
              <w:rPr>
                <w:rFonts w:ascii="Calibri" w:eastAsia="Times New Roman" w:hAnsi="Calibri" w:cs="Calibri"/>
                <w:b/>
                <w:bCs/>
                <w:color w:val="000000"/>
                <w:sz w:val="14"/>
                <w:szCs w:val="14"/>
              </w:rPr>
            </w:pPr>
            <w:r w:rsidRPr="00166C23">
              <w:rPr>
                <w:rFonts w:ascii="Calibri" w:eastAsia="Times New Roman" w:hAnsi="Calibri" w:cs="Calibri"/>
                <w:b/>
                <w:bCs/>
                <w:color w:val="000000"/>
                <w:sz w:val="14"/>
                <w:szCs w:val="14"/>
              </w:rPr>
              <w:t>UNIT NAME</w:t>
            </w:r>
          </w:p>
        </w:tc>
        <w:tc>
          <w:tcPr>
            <w:tcW w:w="3720" w:type="dxa"/>
            <w:tcBorders>
              <w:top w:val="single" w:sz="8" w:space="0" w:color="auto"/>
              <w:left w:val="nil"/>
              <w:bottom w:val="nil"/>
              <w:right w:val="single" w:sz="8" w:space="0" w:color="auto"/>
            </w:tcBorders>
            <w:shd w:val="clear" w:color="auto" w:fill="auto"/>
            <w:vAlign w:val="center"/>
            <w:hideMark/>
          </w:tcPr>
          <w:p w:rsidR="00166C23" w:rsidRPr="00166C23" w:rsidRDefault="00166C23" w:rsidP="007204BC">
            <w:pPr>
              <w:jc w:val="center"/>
              <w:rPr>
                <w:rFonts w:ascii="Calibri" w:eastAsia="Times New Roman" w:hAnsi="Calibri" w:cs="Calibri"/>
                <w:b/>
                <w:bCs/>
                <w:color w:val="000000"/>
                <w:sz w:val="14"/>
                <w:szCs w:val="14"/>
              </w:rPr>
            </w:pPr>
            <w:r w:rsidRPr="00166C23">
              <w:rPr>
                <w:rFonts w:ascii="Calibri" w:eastAsia="Times New Roman" w:hAnsi="Calibri" w:cs="Calibri"/>
                <w:b/>
                <w:bCs/>
                <w:color w:val="000000"/>
                <w:sz w:val="14"/>
                <w:szCs w:val="14"/>
              </w:rPr>
              <w:t> </w:t>
            </w:r>
          </w:p>
        </w:tc>
        <w:tc>
          <w:tcPr>
            <w:tcW w:w="6060" w:type="dxa"/>
            <w:gridSpan w:val="5"/>
            <w:tcBorders>
              <w:top w:val="single" w:sz="8" w:space="0" w:color="auto"/>
              <w:left w:val="nil"/>
              <w:bottom w:val="single" w:sz="8" w:space="0" w:color="auto"/>
              <w:right w:val="single" w:sz="8" w:space="0" w:color="000000"/>
            </w:tcBorders>
            <w:shd w:val="clear" w:color="auto" w:fill="auto"/>
            <w:vAlign w:val="center"/>
            <w:hideMark/>
          </w:tcPr>
          <w:p w:rsidR="00166C23" w:rsidRPr="00166C23" w:rsidRDefault="00166C23" w:rsidP="007204BC">
            <w:pPr>
              <w:jc w:val="center"/>
              <w:rPr>
                <w:rFonts w:ascii="Calibri" w:eastAsia="Times New Roman" w:hAnsi="Calibri" w:cs="Calibri"/>
                <w:b/>
                <w:bCs/>
                <w:color w:val="000000"/>
                <w:sz w:val="14"/>
                <w:szCs w:val="14"/>
              </w:rPr>
            </w:pPr>
            <w:r w:rsidRPr="00166C23">
              <w:rPr>
                <w:rFonts w:ascii="Calibri" w:eastAsia="Times New Roman" w:hAnsi="Calibri" w:cs="Calibri"/>
                <w:b/>
                <w:bCs/>
                <w:color w:val="000000"/>
                <w:sz w:val="14"/>
                <w:szCs w:val="14"/>
              </w:rPr>
              <w:t>UNIT MATERIALS</w:t>
            </w:r>
          </w:p>
        </w:tc>
      </w:tr>
      <w:tr w:rsidR="00166C23" w:rsidRPr="00777A30" w:rsidTr="007204BC">
        <w:trPr>
          <w:trHeight w:val="500"/>
        </w:trPr>
        <w:tc>
          <w:tcPr>
            <w:tcW w:w="1300" w:type="dxa"/>
            <w:vMerge/>
            <w:tcBorders>
              <w:top w:val="single" w:sz="8" w:space="0" w:color="auto"/>
              <w:left w:val="single" w:sz="8" w:space="0" w:color="auto"/>
              <w:bottom w:val="single" w:sz="8" w:space="0" w:color="000000"/>
              <w:right w:val="single" w:sz="8" w:space="0" w:color="auto"/>
            </w:tcBorders>
            <w:vAlign w:val="center"/>
            <w:hideMark/>
          </w:tcPr>
          <w:p w:rsidR="00166C23" w:rsidRPr="00166C23" w:rsidRDefault="00166C23" w:rsidP="007204BC">
            <w:pPr>
              <w:rPr>
                <w:rFonts w:ascii="Calibri" w:eastAsia="Times New Roman" w:hAnsi="Calibri" w:cs="Calibri"/>
                <w:b/>
                <w:bCs/>
                <w:color w:val="000000"/>
                <w:sz w:val="14"/>
                <w:szCs w:val="14"/>
              </w:rPr>
            </w:pPr>
          </w:p>
        </w:tc>
        <w:tc>
          <w:tcPr>
            <w:tcW w:w="3720" w:type="dxa"/>
            <w:vMerge/>
            <w:tcBorders>
              <w:top w:val="single" w:sz="8" w:space="0" w:color="auto"/>
              <w:left w:val="single" w:sz="8" w:space="0" w:color="auto"/>
              <w:bottom w:val="single" w:sz="8" w:space="0" w:color="000000"/>
              <w:right w:val="single" w:sz="8" w:space="0" w:color="auto"/>
            </w:tcBorders>
            <w:vAlign w:val="center"/>
            <w:hideMark/>
          </w:tcPr>
          <w:p w:rsidR="00166C23" w:rsidRPr="00166C23" w:rsidRDefault="00166C23" w:rsidP="007204BC">
            <w:pPr>
              <w:rPr>
                <w:rFonts w:ascii="Calibri" w:eastAsia="Times New Roman" w:hAnsi="Calibri" w:cs="Calibri"/>
                <w:b/>
                <w:bCs/>
                <w:color w:val="000000"/>
                <w:sz w:val="14"/>
                <w:szCs w:val="14"/>
              </w:rPr>
            </w:pPr>
          </w:p>
        </w:tc>
        <w:tc>
          <w:tcPr>
            <w:tcW w:w="3720" w:type="dxa"/>
            <w:tcBorders>
              <w:top w:val="single" w:sz="8" w:space="0" w:color="auto"/>
              <w:left w:val="nil"/>
              <w:bottom w:val="single" w:sz="8" w:space="0" w:color="auto"/>
              <w:right w:val="single" w:sz="8" w:space="0" w:color="auto"/>
            </w:tcBorders>
            <w:shd w:val="clear" w:color="000000" w:fill="EAF1DD"/>
            <w:vAlign w:val="center"/>
            <w:hideMark/>
          </w:tcPr>
          <w:p w:rsidR="00166C23" w:rsidRPr="00166C23" w:rsidRDefault="00166C23" w:rsidP="007204BC">
            <w:pPr>
              <w:jc w:val="center"/>
              <w:rPr>
                <w:rFonts w:ascii="Calibri" w:eastAsia="Times New Roman" w:hAnsi="Calibri" w:cs="Calibri"/>
                <w:b/>
                <w:bCs/>
                <w:color w:val="000000"/>
                <w:sz w:val="14"/>
                <w:szCs w:val="14"/>
              </w:rPr>
            </w:pPr>
            <w:r w:rsidRPr="00166C23">
              <w:rPr>
                <w:rFonts w:ascii="Calibri" w:eastAsia="Times New Roman" w:hAnsi="Calibri" w:cs="Calibri"/>
                <w:b/>
                <w:bCs/>
                <w:color w:val="000000"/>
                <w:sz w:val="14"/>
                <w:szCs w:val="14"/>
              </w:rPr>
              <w:t>DESCRIPTION</w:t>
            </w:r>
          </w:p>
        </w:tc>
        <w:tc>
          <w:tcPr>
            <w:tcW w:w="1080" w:type="dxa"/>
            <w:tcBorders>
              <w:top w:val="nil"/>
              <w:left w:val="nil"/>
              <w:bottom w:val="single" w:sz="8" w:space="0" w:color="auto"/>
              <w:right w:val="single" w:sz="8" w:space="0" w:color="auto"/>
            </w:tcBorders>
            <w:shd w:val="clear" w:color="auto" w:fill="auto"/>
            <w:vAlign w:val="center"/>
            <w:hideMark/>
          </w:tcPr>
          <w:p w:rsidR="00166C23" w:rsidRPr="00166C23" w:rsidRDefault="00166C23" w:rsidP="007204BC">
            <w:pPr>
              <w:jc w:val="center"/>
              <w:rPr>
                <w:rFonts w:ascii="Calibri" w:eastAsia="Times New Roman" w:hAnsi="Calibri" w:cs="Calibri"/>
                <w:b/>
                <w:bCs/>
                <w:color w:val="000000"/>
                <w:sz w:val="14"/>
                <w:szCs w:val="14"/>
              </w:rPr>
            </w:pPr>
            <w:r w:rsidRPr="00166C23">
              <w:rPr>
                <w:rFonts w:ascii="Calibri" w:eastAsia="Times New Roman" w:hAnsi="Calibri" w:cs="Calibri"/>
                <w:b/>
                <w:bCs/>
                <w:color w:val="000000"/>
                <w:sz w:val="14"/>
                <w:szCs w:val="14"/>
              </w:rPr>
              <w:t>Unit Descriptor</w:t>
            </w:r>
          </w:p>
        </w:tc>
        <w:tc>
          <w:tcPr>
            <w:tcW w:w="1080" w:type="dxa"/>
            <w:tcBorders>
              <w:top w:val="nil"/>
              <w:left w:val="nil"/>
              <w:bottom w:val="single" w:sz="8" w:space="0" w:color="auto"/>
              <w:right w:val="single" w:sz="8" w:space="0" w:color="auto"/>
            </w:tcBorders>
            <w:shd w:val="clear" w:color="auto" w:fill="auto"/>
            <w:vAlign w:val="center"/>
            <w:hideMark/>
          </w:tcPr>
          <w:p w:rsidR="00166C23" w:rsidRPr="00166C23" w:rsidRDefault="00166C23" w:rsidP="007204BC">
            <w:pPr>
              <w:jc w:val="center"/>
              <w:rPr>
                <w:rFonts w:ascii="Calibri" w:eastAsia="Times New Roman" w:hAnsi="Calibri" w:cs="Calibri"/>
                <w:b/>
                <w:bCs/>
                <w:color w:val="000000"/>
                <w:sz w:val="14"/>
                <w:szCs w:val="14"/>
              </w:rPr>
            </w:pPr>
            <w:r w:rsidRPr="00166C23">
              <w:rPr>
                <w:rFonts w:ascii="Calibri" w:eastAsia="Times New Roman" w:hAnsi="Calibri" w:cs="Calibri"/>
                <w:b/>
                <w:bCs/>
                <w:color w:val="000000"/>
                <w:sz w:val="14"/>
                <w:szCs w:val="14"/>
              </w:rPr>
              <w:t>Power Point</w:t>
            </w:r>
          </w:p>
        </w:tc>
        <w:tc>
          <w:tcPr>
            <w:tcW w:w="1300" w:type="dxa"/>
            <w:tcBorders>
              <w:top w:val="nil"/>
              <w:left w:val="nil"/>
              <w:bottom w:val="single" w:sz="8" w:space="0" w:color="auto"/>
              <w:right w:val="single" w:sz="8" w:space="0" w:color="auto"/>
            </w:tcBorders>
            <w:shd w:val="clear" w:color="auto" w:fill="auto"/>
            <w:vAlign w:val="center"/>
            <w:hideMark/>
          </w:tcPr>
          <w:p w:rsidR="00166C23" w:rsidRPr="00777A30" w:rsidRDefault="00166C23" w:rsidP="007204BC">
            <w:pPr>
              <w:jc w:val="center"/>
              <w:rPr>
                <w:rFonts w:ascii="Calibri" w:eastAsia="Times New Roman" w:hAnsi="Calibri" w:cs="Calibri"/>
                <w:b/>
                <w:bCs/>
                <w:color w:val="000000"/>
                <w:sz w:val="15"/>
                <w:szCs w:val="15"/>
              </w:rPr>
            </w:pPr>
            <w:r w:rsidRPr="00777A30">
              <w:rPr>
                <w:rFonts w:ascii="Calibri" w:eastAsia="Times New Roman" w:hAnsi="Calibri" w:cs="Calibri"/>
                <w:b/>
                <w:bCs/>
                <w:color w:val="000000"/>
                <w:sz w:val="15"/>
                <w:szCs w:val="15"/>
              </w:rPr>
              <w:t>Assessment Tasks</w:t>
            </w:r>
          </w:p>
        </w:tc>
        <w:tc>
          <w:tcPr>
            <w:tcW w:w="1300" w:type="dxa"/>
            <w:tcBorders>
              <w:top w:val="nil"/>
              <w:left w:val="nil"/>
              <w:bottom w:val="single" w:sz="8" w:space="0" w:color="auto"/>
              <w:right w:val="single" w:sz="8" w:space="0" w:color="auto"/>
            </w:tcBorders>
            <w:shd w:val="clear" w:color="auto" w:fill="auto"/>
            <w:vAlign w:val="center"/>
            <w:hideMark/>
          </w:tcPr>
          <w:p w:rsidR="00166C23" w:rsidRPr="00777A30" w:rsidRDefault="00166C23" w:rsidP="007204BC">
            <w:pPr>
              <w:jc w:val="center"/>
              <w:rPr>
                <w:rFonts w:ascii="Calibri" w:eastAsia="Times New Roman" w:hAnsi="Calibri" w:cs="Calibri"/>
                <w:b/>
                <w:bCs/>
                <w:color w:val="000000"/>
                <w:sz w:val="15"/>
                <w:szCs w:val="15"/>
              </w:rPr>
            </w:pPr>
            <w:r w:rsidRPr="00777A30">
              <w:rPr>
                <w:rFonts w:ascii="Calibri" w:eastAsia="Times New Roman" w:hAnsi="Calibri" w:cs="Calibri"/>
                <w:b/>
                <w:bCs/>
                <w:color w:val="000000"/>
                <w:sz w:val="15"/>
                <w:szCs w:val="15"/>
              </w:rPr>
              <w:t>Activities</w:t>
            </w:r>
          </w:p>
        </w:tc>
        <w:tc>
          <w:tcPr>
            <w:tcW w:w="1300" w:type="dxa"/>
            <w:tcBorders>
              <w:top w:val="nil"/>
              <w:left w:val="nil"/>
              <w:bottom w:val="single" w:sz="8" w:space="0" w:color="auto"/>
              <w:right w:val="single" w:sz="8" w:space="0" w:color="auto"/>
            </w:tcBorders>
            <w:shd w:val="clear" w:color="auto" w:fill="auto"/>
            <w:vAlign w:val="center"/>
            <w:hideMark/>
          </w:tcPr>
          <w:p w:rsidR="00166C23" w:rsidRPr="00777A30" w:rsidRDefault="00166C23" w:rsidP="007204BC">
            <w:pPr>
              <w:jc w:val="center"/>
              <w:rPr>
                <w:rFonts w:ascii="Calibri" w:eastAsia="Times New Roman" w:hAnsi="Calibri" w:cs="Calibri"/>
                <w:b/>
                <w:bCs/>
                <w:color w:val="000000"/>
                <w:sz w:val="15"/>
                <w:szCs w:val="15"/>
              </w:rPr>
            </w:pPr>
            <w:r w:rsidRPr="00777A30">
              <w:rPr>
                <w:rFonts w:ascii="Calibri" w:eastAsia="Times New Roman" w:hAnsi="Calibri" w:cs="Calibri"/>
                <w:b/>
                <w:bCs/>
                <w:color w:val="000000"/>
                <w:sz w:val="15"/>
                <w:szCs w:val="15"/>
              </w:rPr>
              <w:t>Resources+</w:t>
            </w:r>
          </w:p>
        </w:tc>
      </w:tr>
      <w:tr w:rsidR="00166C23" w:rsidRPr="00777A30" w:rsidTr="00166C23">
        <w:trPr>
          <w:trHeight w:hRule="exact" w:val="652"/>
        </w:trPr>
        <w:tc>
          <w:tcPr>
            <w:tcW w:w="1300" w:type="dxa"/>
            <w:tcBorders>
              <w:top w:val="nil"/>
              <w:left w:val="single" w:sz="8" w:space="0" w:color="auto"/>
              <w:bottom w:val="single" w:sz="8" w:space="0" w:color="auto"/>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TETBNH301</w:t>
            </w:r>
          </w:p>
        </w:tc>
        <w:tc>
          <w:tcPr>
            <w:tcW w:w="3720" w:type="dxa"/>
            <w:tcBorders>
              <w:top w:val="nil"/>
              <w:left w:val="nil"/>
              <w:bottom w:val="single" w:sz="8" w:space="0" w:color="auto"/>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Non-Indigenous and Indigenous BNH Management Principles</w:t>
            </w:r>
          </w:p>
        </w:tc>
        <w:tc>
          <w:tcPr>
            <w:tcW w:w="3720" w:type="dxa"/>
            <w:tcBorders>
              <w:top w:val="nil"/>
              <w:left w:val="nil"/>
              <w:bottom w:val="single" w:sz="8" w:space="0" w:color="auto"/>
              <w:right w:val="single" w:sz="8" w:space="0" w:color="auto"/>
            </w:tcBorders>
            <w:shd w:val="clear" w:color="auto" w:fill="auto"/>
            <w:hideMark/>
          </w:tcPr>
          <w:p w:rsidR="00166C23" w:rsidRPr="00166C23" w:rsidRDefault="00166C23" w:rsidP="007204BC">
            <w:pPr>
              <w:rPr>
                <w:rFonts w:ascii="Calibri" w:eastAsia="Times New Roman" w:hAnsi="Calibri" w:cs="Calibri"/>
                <w:color w:val="000000"/>
                <w:sz w:val="14"/>
                <w:szCs w:val="14"/>
              </w:rPr>
            </w:pPr>
            <w:r w:rsidRPr="00166C23">
              <w:rPr>
                <w:rFonts w:ascii="Calibri" w:eastAsia="Times New Roman" w:hAnsi="Calibri" w:cs="Calibri"/>
                <w:color w:val="000000"/>
                <w:sz w:val="14"/>
                <w:szCs w:val="14"/>
              </w:rPr>
              <w:t>Introduction to the two world views and history directly relevant to emergency management in Australia promoting awareness of personal perspective and how it relates to the broader paradigm.</w:t>
            </w:r>
          </w:p>
        </w:tc>
        <w:tc>
          <w:tcPr>
            <w:tcW w:w="1080" w:type="dxa"/>
            <w:tcBorders>
              <w:top w:val="nil"/>
              <w:left w:val="nil"/>
              <w:bottom w:val="single" w:sz="8" w:space="0" w:color="auto"/>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w:t>
            </w:r>
          </w:p>
        </w:tc>
        <w:tc>
          <w:tcPr>
            <w:tcW w:w="1080" w:type="dxa"/>
            <w:tcBorders>
              <w:top w:val="nil"/>
              <w:left w:val="nil"/>
              <w:bottom w:val="single" w:sz="8" w:space="0" w:color="auto"/>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w:t>
            </w:r>
          </w:p>
        </w:tc>
        <w:tc>
          <w:tcPr>
            <w:tcW w:w="1300" w:type="dxa"/>
            <w:tcBorders>
              <w:top w:val="nil"/>
              <w:left w:val="nil"/>
              <w:bottom w:val="single" w:sz="8" w:space="0" w:color="auto"/>
              <w:right w:val="single" w:sz="8" w:space="0" w:color="auto"/>
            </w:tcBorders>
            <w:shd w:val="clear" w:color="auto" w:fill="auto"/>
            <w:hideMark/>
          </w:tcPr>
          <w:p w:rsidR="00166C23" w:rsidRPr="00777A30" w:rsidRDefault="00166C23" w:rsidP="007204BC">
            <w:pPr>
              <w:jc w:val="center"/>
              <w:rPr>
                <w:rFonts w:ascii="Calibri" w:eastAsia="Times New Roman" w:hAnsi="Calibri" w:cs="Calibri"/>
                <w:color w:val="000000"/>
                <w:sz w:val="15"/>
                <w:szCs w:val="15"/>
              </w:rPr>
            </w:pPr>
            <w:r w:rsidRPr="00777A30">
              <w:rPr>
                <w:rFonts w:ascii="Calibri" w:eastAsia="Times New Roman" w:hAnsi="Calibri" w:cs="Calibri"/>
                <w:color w:val="000000"/>
                <w:sz w:val="15"/>
                <w:szCs w:val="15"/>
              </w:rPr>
              <w:t>Observation throughout course</w:t>
            </w:r>
          </w:p>
        </w:tc>
        <w:tc>
          <w:tcPr>
            <w:tcW w:w="1300" w:type="dxa"/>
            <w:tcBorders>
              <w:top w:val="nil"/>
              <w:left w:val="nil"/>
              <w:bottom w:val="single" w:sz="8" w:space="0" w:color="auto"/>
              <w:right w:val="single" w:sz="8" w:space="0" w:color="auto"/>
            </w:tcBorders>
            <w:shd w:val="clear" w:color="auto" w:fill="auto"/>
            <w:hideMark/>
          </w:tcPr>
          <w:p w:rsidR="00166C23" w:rsidRPr="00777A30" w:rsidRDefault="00166C23" w:rsidP="007204BC">
            <w:pPr>
              <w:jc w:val="center"/>
              <w:rPr>
                <w:rFonts w:ascii="Calibri" w:eastAsia="Times New Roman" w:hAnsi="Calibri" w:cs="Calibri"/>
                <w:color w:val="000000"/>
                <w:sz w:val="15"/>
                <w:szCs w:val="15"/>
              </w:rPr>
            </w:pPr>
            <w:r w:rsidRPr="00777A30">
              <w:rPr>
                <w:rFonts w:ascii="Calibri" w:eastAsia="Times New Roman" w:hAnsi="Calibri" w:cs="Calibri"/>
                <w:color w:val="000000"/>
                <w:sz w:val="15"/>
                <w:szCs w:val="15"/>
              </w:rPr>
              <w:t>Case Study &amp; Expert Panel</w:t>
            </w:r>
          </w:p>
        </w:tc>
        <w:tc>
          <w:tcPr>
            <w:tcW w:w="1300" w:type="dxa"/>
            <w:tcBorders>
              <w:top w:val="nil"/>
              <w:left w:val="nil"/>
              <w:bottom w:val="single" w:sz="8" w:space="0" w:color="auto"/>
              <w:right w:val="single" w:sz="8" w:space="0" w:color="auto"/>
            </w:tcBorders>
            <w:shd w:val="clear" w:color="auto" w:fill="auto"/>
            <w:hideMark/>
          </w:tcPr>
          <w:p w:rsidR="00166C23" w:rsidRPr="00777A30" w:rsidRDefault="00166C23" w:rsidP="007204BC">
            <w:pPr>
              <w:rPr>
                <w:rFonts w:ascii="Calibri" w:eastAsia="Times New Roman" w:hAnsi="Calibri" w:cs="Calibri"/>
                <w:color w:val="000000"/>
                <w:sz w:val="15"/>
                <w:szCs w:val="15"/>
              </w:rPr>
            </w:pPr>
            <w:r>
              <w:rPr>
                <w:rFonts w:ascii="Calibri" w:eastAsia="Times New Roman" w:hAnsi="Calibri" w:cs="Calibri"/>
                <w:color w:val="000000"/>
                <w:sz w:val="15"/>
                <w:szCs w:val="15"/>
              </w:rPr>
              <w:t>Course Outline &amp; Reading lists</w:t>
            </w:r>
          </w:p>
        </w:tc>
      </w:tr>
      <w:tr w:rsidR="00166C23" w:rsidRPr="00777A30" w:rsidTr="00166C23">
        <w:trPr>
          <w:trHeight w:hRule="exact" w:val="652"/>
        </w:trPr>
        <w:tc>
          <w:tcPr>
            <w:tcW w:w="1300" w:type="dxa"/>
            <w:tcBorders>
              <w:top w:val="nil"/>
              <w:left w:val="single" w:sz="8" w:space="0" w:color="auto"/>
              <w:bottom w:val="single" w:sz="8" w:space="0" w:color="auto"/>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TETBNH302</w:t>
            </w:r>
          </w:p>
        </w:tc>
        <w:tc>
          <w:tcPr>
            <w:tcW w:w="3720" w:type="dxa"/>
            <w:tcBorders>
              <w:top w:val="nil"/>
              <w:left w:val="nil"/>
              <w:bottom w:val="single" w:sz="8" w:space="0" w:color="auto"/>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Applying Indigenous Fire Management Processes in North Australian Contexts (Local Variant)</w:t>
            </w:r>
          </w:p>
        </w:tc>
        <w:tc>
          <w:tcPr>
            <w:tcW w:w="3720" w:type="dxa"/>
            <w:tcBorders>
              <w:top w:val="nil"/>
              <w:left w:val="nil"/>
              <w:bottom w:val="single" w:sz="8" w:space="0" w:color="auto"/>
              <w:right w:val="single" w:sz="8" w:space="0" w:color="auto"/>
            </w:tcBorders>
            <w:shd w:val="clear" w:color="auto" w:fill="auto"/>
            <w:hideMark/>
          </w:tcPr>
          <w:p w:rsidR="00166C23" w:rsidRPr="00166C23" w:rsidRDefault="00166C23" w:rsidP="007204BC">
            <w:pPr>
              <w:rPr>
                <w:rFonts w:ascii="Calibri" w:eastAsia="Times New Roman" w:hAnsi="Calibri" w:cs="Calibri"/>
                <w:color w:val="000000"/>
                <w:sz w:val="14"/>
                <w:szCs w:val="14"/>
              </w:rPr>
            </w:pPr>
            <w:r w:rsidRPr="00166C23">
              <w:rPr>
                <w:rFonts w:ascii="Calibri" w:eastAsia="Times New Roman" w:hAnsi="Calibri" w:cs="Calibri"/>
                <w:color w:val="000000"/>
                <w:sz w:val="14"/>
                <w:szCs w:val="14"/>
              </w:rPr>
              <w:t>Introduces a learning framework for the development of an applied fire management program based upon local traditional and western knowledge and practice, as appropriate to the local context.</w:t>
            </w:r>
          </w:p>
        </w:tc>
        <w:tc>
          <w:tcPr>
            <w:tcW w:w="1080" w:type="dxa"/>
            <w:tcBorders>
              <w:top w:val="nil"/>
              <w:left w:val="nil"/>
              <w:bottom w:val="single" w:sz="8" w:space="0" w:color="auto"/>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w:t>
            </w:r>
          </w:p>
        </w:tc>
        <w:tc>
          <w:tcPr>
            <w:tcW w:w="1080" w:type="dxa"/>
            <w:tcBorders>
              <w:top w:val="nil"/>
              <w:left w:val="nil"/>
              <w:bottom w:val="single" w:sz="8" w:space="0" w:color="auto"/>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w:t>
            </w:r>
          </w:p>
        </w:tc>
        <w:tc>
          <w:tcPr>
            <w:tcW w:w="1300" w:type="dxa"/>
            <w:tcBorders>
              <w:top w:val="nil"/>
              <w:left w:val="nil"/>
              <w:bottom w:val="single" w:sz="8" w:space="0" w:color="auto"/>
              <w:right w:val="single" w:sz="8" w:space="0" w:color="auto"/>
            </w:tcBorders>
            <w:shd w:val="clear" w:color="auto" w:fill="auto"/>
            <w:hideMark/>
          </w:tcPr>
          <w:p w:rsidR="00166C23" w:rsidRPr="00777A30" w:rsidRDefault="00166C23" w:rsidP="007204BC">
            <w:pPr>
              <w:jc w:val="center"/>
              <w:rPr>
                <w:rFonts w:ascii="Calibri" w:eastAsia="Times New Roman" w:hAnsi="Calibri" w:cs="Calibri"/>
                <w:color w:val="000000"/>
                <w:sz w:val="15"/>
                <w:szCs w:val="15"/>
              </w:rPr>
            </w:pPr>
            <w:r w:rsidRPr="00777A30">
              <w:rPr>
                <w:rFonts w:ascii="Calibri" w:eastAsia="Times New Roman" w:hAnsi="Calibri" w:cs="Calibri"/>
                <w:color w:val="000000"/>
                <w:sz w:val="15"/>
                <w:szCs w:val="15"/>
              </w:rPr>
              <w:t>Portfolio</w:t>
            </w:r>
            <w:r>
              <w:rPr>
                <w:rFonts w:ascii="Calibri" w:eastAsia="Times New Roman" w:hAnsi="Calibri" w:cs="Calibri"/>
                <w:color w:val="000000"/>
                <w:sz w:val="15"/>
                <w:szCs w:val="15"/>
              </w:rPr>
              <w:t xml:space="preserve"> Dashboard</w:t>
            </w:r>
          </w:p>
        </w:tc>
        <w:tc>
          <w:tcPr>
            <w:tcW w:w="1300" w:type="dxa"/>
            <w:tcBorders>
              <w:top w:val="nil"/>
              <w:left w:val="nil"/>
              <w:bottom w:val="single" w:sz="8" w:space="0" w:color="auto"/>
              <w:right w:val="single" w:sz="8" w:space="0" w:color="auto"/>
            </w:tcBorders>
            <w:shd w:val="clear" w:color="auto" w:fill="auto"/>
            <w:hideMark/>
          </w:tcPr>
          <w:p w:rsidR="00166C23" w:rsidRPr="00777A30" w:rsidRDefault="00166C23" w:rsidP="007204BC">
            <w:pPr>
              <w:jc w:val="center"/>
              <w:rPr>
                <w:rFonts w:ascii="Calibri" w:eastAsia="Times New Roman" w:hAnsi="Calibri" w:cs="Calibri"/>
                <w:color w:val="000000"/>
                <w:sz w:val="15"/>
                <w:szCs w:val="15"/>
              </w:rPr>
            </w:pPr>
            <w:r w:rsidRPr="00777A30">
              <w:rPr>
                <w:rFonts w:ascii="Calibri" w:eastAsia="Times New Roman" w:hAnsi="Calibri" w:cs="Calibri"/>
                <w:color w:val="000000"/>
                <w:sz w:val="15"/>
                <w:szCs w:val="15"/>
              </w:rPr>
              <w:t xml:space="preserve">Practical Activities </w:t>
            </w:r>
          </w:p>
        </w:tc>
        <w:tc>
          <w:tcPr>
            <w:tcW w:w="1300" w:type="dxa"/>
            <w:tcBorders>
              <w:top w:val="nil"/>
              <w:left w:val="nil"/>
              <w:bottom w:val="single" w:sz="8" w:space="0" w:color="auto"/>
              <w:right w:val="single" w:sz="8" w:space="0" w:color="auto"/>
            </w:tcBorders>
            <w:shd w:val="clear" w:color="auto" w:fill="auto"/>
            <w:hideMark/>
          </w:tcPr>
          <w:p w:rsidR="00166C23" w:rsidRPr="00777A30" w:rsidRDefault="00166C23" w:rsidP="007204BC">
            <w:pPr>
              <w:rPr>
                <w:rFonts w:ascii="Calibri" w:eastAsia="Times New Roman" w:hAnsi="Calibri" w:cs="Calibri"/>
                <w:color w:val="000000"/>
                <w:sz w:val="15"/>
                <w:szCs w:val="15"/>
              </w:rPr>
            </w:pPr>
            <w:r>
              <w:rPr>
                <w:rFonts w:ascii="Calibri" w:eastAsia="Times New Roman" w:hAnsi="Calibri" w:cs="Calibri"/>
                <w:color w:val="000000"/>
                <w:sz w:val="15"/>
                <w:szCs w:val="15"/>
              </w:rPr>
              <w:t>Guide to Dashboarding</w:t>
            </w:r>
          </w:p>
        </w:tc>
      </w:tr>
      <w:tr w:rsidR="00166C23" w:rsidRPr="00777A30" w:rsidTr="00166C23">
        <w:trPr>
          <w:trHeight w:hRule="exact" w:val="652"/>
        </w:trPr>
        <w:tc>
          <w:tcPr>
            <w:tcW w:w="1300" w:type="dxa"/>
            <w:tcBorders>
              <w:top w:val="nil"/>
              <w:left w:val="single" w:sz="8" w:space="0" w:color="auto"/>
              <w:bottom w:val="nil"/>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TETBNH303</w:t>
            </w:r>
          </w:p>
        </w:tc>
        <w:tc>
          <w:tcPr>
            <w:tcW w:w="3720" w:type="dxa"/>
            <w:tcBorders>
              <w:top w:val="nil"/>
              <w:left w:val="nil"/>
              <w:bottom w:val="nil"/>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Community Engagement and Cultural Protocols (Local Variant)</w:t>
            </w:r>
          </w:p>
        </w:tc>
        <w:tc>
          <w:tcPr>
            <w:tcW w:w="3720" w:type="dxa"/>
            <w:tcBorders>
              <w:top w:val="nil"/>
              <w:left w:val="nil"/>
              <w:bottom w:val="nil"/>
              <w:right w:val="single" w:sz="8" w:space="0" w:color="auto"/>
            </w:tcBorders>
            <w:shd w:val="clear" w:color="auto" w:fill="auto"/>
            <w:hideMark/>
          </w:tcPr>
          <w:p w:rsidR="00166C23" w:rsidRPr="00166C23" w:rsidRDefault="00166C23" w:rsidP="007204BC">
            <w:pPr>
              <w:rPr>
                <w:rFonts w:ascii="Calibri" w:eastAsia="Times New Roman" w:hAnsi="Calibri" w:cs="Calibri"/>
                <w:color w:val="000000"/>
                <w:sz w:val="14"/>
                <w:szCs w:val="14"/>
              </w:rPr>
            </w:pPr>
            <w:r w:rsidRPr="00166C23">
              <w:rPr>
                <w:rFonts w:ascii="Calibri" w:eastAsia="Times New Roman" w:hAnsi="Calibri" w:cs="Calibri"/>
                <w:color w:val="000000"/>
                <w:sz w:val="14"/>
                <w:szCs w:val="14"/>
              </w:rPr>
              <w:t>Introduction to established protocols used in BNH management but focussing on effective inter-cultural collaboration with indigenous communities and organisations in rural and remote settings.</w:t>
            </w:r>
          </w:p>
        </w:tc>
        <w:tc>
          <w:tcPr>
            <w:tcW w:w="1080" w:type="dxa"/>
            <w:tcBorders>
              <w:top w:val="nil"/>
              <w:left w:val="nil"/>
              <w:bottom w:val="nil"/>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w:t>
            </w:r>
          </w:p>
        </w:tc>
        <w:tc>
          <w:tcPr>
            <w:tcW w:w="1080" w:type="dxa"/>
            <w:tcBorders>
              <w:top w:val="nil"/>
              <w:left w:val="nil"/>
              <w:bottom w:val="nil"/>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w:t>
            </w:r>
          </w:p>
        </w:tc>
        <w:tc>
          <w:tcPr>
            <w:tcW w:w="1300" w:type="dxa"/>
            <w:tcBorders>
              <w:top w:val="nil"/>
              <w:left w:val="nil"/>
              <w:bottom w:val="single" w:sz="8" w:space="0" w:color="auto"/>
              <w:right w:val="single" w:sz="8" w:space="0" w:color="auto"/>
            </w:tcBorders>
            <w:shd w:val="clear" w:color="auto" w:fill="auto"/>
            <w:hideMark/>
          </w:tcPr>
          <w:p w:rsidR="00166C23" w:rsidRPr="00777A30" w:rsidRDefault="00166C23" w:rsidP="007204BC">
            <w:pPr>
              <w:jc w:val="center"/>
              <w:rPr>
                <w:rFonts w:ascii="Calibri" w:eastAsia="Times New Roman" w:hAnsi="Calibri" w:cs="Calibri"/>
                <w:color w:val="000000"/>
                <w:sz w:val="15"/>
                <w:szCs w:val="15"/>
              </w:rPr>
            </w:pPr>
            <w:r w:rsidRPr="00777A30">
              <w:rPr>
                <w:rFonts w:ascii="Calibri" w:eastAsia="Times New Roman" w:hAnsi="Calibri" w:cs="Calibri"/>
                <w:color w:val="000000"/>
                <w:sz w:val="15"/>
                <w:szCs w:val="15"/>
              </w:rPr>
              <w:t>Flow Diagram &amp; Evaluation</w:t>
            </w:r>
          </w:p>
        </w:tc>
        <w:tc>
          <w:tcPr>
            <w:tcW w:w="1300" w:type="dxa"/>
            <w:tcBorders>
              <w:top w:val="nil"/>
              <w:left w:val="nil"/>
              <w:bottom w:val="nil"/>
              <w:right w:val="single" w:sz="8" w:space="0" w:color="auto"/>
            </w:tcBorders>
            <w:shd w:val="clear" w:color="auto" w:fill="auto"/>
            <w:hideMark/>
          </w:tcPr>
          <w:p w:rsidR="00166C23" w:rsidRPr="00777A30" w:rsidRDefault="00166C23" w:rsidP="007204BC">
            <w:pPr>
              <w:jc w:val="center"/>
              <w:rPr>
                <w:rFonts w:ascii="Calibri" w:eastAsia="Times New Roman" w:hAnsi="Calibri" w:cs="Calibri"/>
                <w:color w:val="000000"/>
                <w:sz w:val="15"/>
                <w:szCs w:val="15"/>
              </w:rPr>
            </w:pPr>
            <w:r w:rsidRPr="00777A30">
              <w:rPr>
                <w:rFonts w:ascii="Calibri" w:eastAsia="Times New Roman" w:hAnsi="Calibri" w:cs="Calibri"/>
                <w:color w:val="000000"/>
                <w:sz w:val="15"/>
                <w:szCs w:val="15"/>
              </w:rPr>
              <w:t>Organisation Protocols</w:t>
            </w:r>
          </w:p>
        </w:tc>
        <w:tc>
          <w:tcPr>
            <w:tcW w:w="1300" w:type="dxa"/>
            <w:tcBorders>
              <w:top w:val="nil"/>
              <w:left w:val="nil"/>
              <w:bottom w:val="nil"/>
              <w:right w:val="single" w:sz="8" w:space="0" w:color="auto"/>
            </w:tcBorders>
            <w:shd w:val="clear" w:color="auto" w:fill="auto"/>
            <w:hideMark/>
          </w:tcPr>
          <w:p w:rsidR="00166C23" w:rsidRPr="00777A30" w:rsidRDefault="00166C23" w:rsidP="007204BC">
            <w:pPr>
              <w:jc w:val="center"/>
              <w:rPr>
                <w:rFonts w:ascii="Calibri" w:eastAsia="Times New Roman" w:hAnsi="Calibri" w:cs="Calibri"/>
                <w:color w:val="000000"/>
                <w:sz w:val="15"/>
                <w:szCs w:val="15"/>
              </w:rPr>
            </w:pPr>
            <w:r w:rsidRPr="00777A30">
              <w:rPr>
                <w:rFonts w:ascii="Calibri" w:eastAsia="Times New Roman" w:hAnsi="Calibri" w:cs="Calibri"/>
                <w:color w:val="000000"/>
                <w:sz w:val="15"/>
                <w:szCs w:val="15"/>
              </w:rPr>
              <w:t>Film clips. &amp; Notes</w:t>
            </w:r>
          </w:p>
        </w:tc>
      </w:tr>
      <w:tr w:rsidR="00166C23" w:rsidRPr="00777A30" w:rsidTr="00166C23">
        <w:trPr>
          <w:trHeight w:hRule="exact" w:val="652"/>
        </w:trPr>
        <w:tc>
          <w:tcPr>
            <w:tcW w:w="1300" w:type="dxa"/>
            <w:tcBorders>
              <w:top w:val="single" w:sz="8" w:space="0" w:color="auto"/>
              <w:left w:val="single" w:sz="8" w:space="0" w:color="auto"/>
              <w:bottom w:val="single" w:sz="8" w:space="0" w:color="auto"/>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TETBNH304</w:t>
            </w:r>
          </w:p>
        </w:tc>
        <w:tc>
          <w:tcPr>
            <w:tcW w:w="3720" w:type="dxa"/>
            <w:tcBorders>
              <w:top w:val="single" w:sz="8" w:space="0" w:color="auto"/>
              <w:left w:val="nil"/>
              <w:bottom w:val="single" w:sz="8" w:space="0" w:color="auto"/>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Fire Management and the Law</w:t>
            </w:r>
          </w:p>
        </w:tc>
        <w:tc>
          <w:tcPr>
            <w:tcW w:w="3720" w:type="dxa"/>
            <w:tcBorders>
              <w:top w:val="single" w:sz="8" w:space="0" w:color="auto"/>
              <w:left w:val="nil"/>
              <w:bottom w:val="single" w:sz="8" w:space="0" w:color="auto"/>
              <w:right w:val="single" w:sz="8" w:space="0" w:color="auto"/>
            </w:tcBorders>
            <w:shd w:val="clear" w:color="auto" w:fill="auto"/>
            <w:hideMark/>
          </w:tcPr>
          <w:p w:rsidR="00166C23" w:rsidRPr="00166C23" w:rsidRDefault="00166C23" w:rsidP="007204BC">
            <w:pPr>
              <w:rPr>
                <w:rFonts w:ascii="Calibri" w:eastAsia="Times New Roman" w:hAnsi="Calibri" w:cs="Calibri"/>
                <w:color w:val="000000"/>
                <w:sz w:val="14"/>
                <w:szCs w:val="14"/>
              </w:rPr>
            </w:pPr>
            <w:r w:rsidRPr="00166C23">
              <w:rPr>
                <w:rFonts w:ascii="Calibri" w:eastAsia="Times New Roman" w:hAnsi="Calibri" w:cs="Calibri"/>
                <w:color w:val="000000"/>
                <w:sz w:val="14"/>
                <w:szCs w:val="14"/>
              </w:rPr>
              <w:t xml:space="preserve">Explores the key legislative and regulatory processes at both national and state/territory levels, governing fire management operations in non-urban locations in North Australia. </w:t>
            </w:r>
          </w:p>
        </w:tc>
        <w:tc>
          <w:tcPr>
            <w:tcW w:w="1080" w:type="dxa"/>
            <w:tcBorders>
              <w:top w:val="single" w:sz="8" w:space="0" w:color="auto"/>
              <w:left w:val="nil"/>
              <w:bottom w:val="single" w:sz="8" w:space="0" w:color="auto"/>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w:t>
            </w:r>
          </w:p>
        </w:tc>
        <w:tc>
          <w:tcPr>
            <w:tcW w:w="1080" w:type="dxa"/>
            <w:tcBorders>
              <w:top w:val="single" w:sz="8" w:space="0" w:color="auto"/>
              <w:left w:val="nil"/>
              <w:bottom w:val="single" w:sz="8" w:space="0" w:color="auto"/>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w:t>
            </w:r>
          </w:p>
        </w:tc>
        <w:tc>
          <w:tcPr>
            <w:tcW w:w="1300" w:type="dxa"/>
            <w:tcBorders>
              <w:top w:val="nil"/>
              <w:left w:val="nil"/>
              <w:bottom w:val="nil"/>
              <w:right w:val="single" w:sz="8" w:space="0" w:color="auto"/>
            </w:tcBorders>
            <w:shd w:val="clear" w:color="auto" w:fill="auto"/>
            <w:hideMark/>
          </w:tcPr>
          <w:p w:rsidR="00166C23" w:rsidRPr="00777A30" w:rsidRDefault="00166C23" w:rsidP="007204BC">
            <w:pPr>
              <w:jc w:val="center"/>
              <w:rPr>
                <w:rFonts w:ascii="Calibri" w:eastAsia="Times New Roman" w:hAnsi="Calibri" w:cs="Calibri"/>
                <w:color w:val="000000"/>
                <w:sz w:val="15"/>
                <w:szCs w:val="15"/>
              </w:rPr>
            </w:pPr>
            <w:r w:rsidRPr="00777A30">
              <w:rPr>
                <w:rFonts w:ascii="Calibri" w:eastAsia="Times New Roman" w:hAnsi="Calibri" w:cs="Calibri"/>
                <w:color w:val="000000"/>
                <w:sz w:val="15"/>
                <w:szCs w:val="15"/>
              </w:rPr>
              <w:t>Flow Diagram &amp; Group Discussion Summary</w:t>
            </w:r>
          </w:p>
        </w:tc>
        <w:tc>
          <w:tcPr>
            <w:tcW w:w="1300" w:type="dxa"/>
            <w:tcBorders>
              <w:top w:val="single" w:sz="8" w:space="0" w:color="auto"/>
              <w:left w:val="nil"/>
              <w:bottom w:val="nil"/>
              <w:right w:val="single" w:sz="8" w:space="0" w:color="auto"/>
            </w:tcBorders>
            <w:shd w:val="clear" w:color="auto" w:fill="auto"/>
            <w:hideMark/>
          </w:tcPr>
          <w:p w:rsidR="00166C23" w:rsidRPr="00777A30" w:rsidRDefault="00166C23" w:rsidP="007204BC">
            <w:pPr>
              <w:jc w:val="center"/>
              <w:rPr>
                <w:rFonts w:ascii="Calibri" w:eastAsia="Times New Roman" w:hAnsi="Calibri" w:cs="Calibri"/>
                <w:color w:val="000000"/>
                <w:sz w:val="15"/>
                <w:szCs w:val="15"/>
              </w:rPr>
            </w:pPr>
            <w:r w:rsidRPr="00777A30">
              <w:rPr>
                <w:rFonts w:ascii="Calibri" w:eastAsia="Times New Roman" w:hAnsi="Calibri" w:cs="Calibri"/>
                <w:color w:val="000000"/>
                <w:sz w:val="15"/>
                <w:szCs w:val="15"/>
              </w:rPr>
              <w:t>Group Discussion</w:t>
            </w:r>
          </w:p>
        </w:tc>
        <w:tc>
          <w:tcPr>
            <w:tcW w:w="1300" w:type="dxa"/>
            <w:tcBorders>
              <w:top w:val="single" w:sz="8" w:space="0" w:color="auto"/>
              <w:left w:val="nil"/>
              <w:bottom w:val="single" w:sz="8" w:space="0" w:color="auto"/>
              <w:right w:val="single" w:sz="8" w:space="0" w:color="auto"/>
            </w:tcBorders>
            <w:shd w:val="clear" w:color="auto" w:fill="auto"/>
            <w:hideMark/>
          </w:tcPr>
          <w:p w:rsidR="00166C23" w:rsidRPr="00777A30" w:rsidRDefault="00166C23" w:rsidP="007204BC">
            <w:pPr>
              <w:rPr>
                <w:rFonts w:ascii="Calibri" w:eastAsia="Times New Roman" w:hAnsi="Calibri" w:cs="Calibri"/>
                <w:color w:val="000000"/>
                <w:sz w:val="15"/>
                <w:szCs w:val="15"/>
              </w:rPr>
            </w:pPr>
            <w:r>
              <w:rPr>
                <w:rFonts w:ascii="Calibri" w:eastAsia="Times New Roman" w:hAnsi="Calibri" w:cs="Calibri"/>
                <w:color w:val="000000"/>
                <w:sz w:val="15"/>
                <w:szCs w:val="15"/>
              </w:rPr>
              <w:t>Reference List and comparison</w:t>
            </w:r>
          </w:p>
        </w:tc>
      </w:tr>
      <w:tr w:rsidR="00166C23" w:rsidRPr="00777A30" w:rsidTr="00166C23">
        <w:trPr>
          <w:trHeight w:hRule="exact" w:val="652"/>
        </w:trPr>
        <w:tc>
          <w:tcPr>
            <w:tcW w:w="1300" w:type="dxa"/>
            <w:tcBorders>
              <w:top w:val="nil"/>
              <w:left w:val="single" w:sz="8" w:space="0" w:color="auto"/>
              <w:bottom w:val="single" w:sz="8" w:space="0" w:color="auto"/>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TETBNH305</w:t>
            </w:r>
          </w:p>
        </w:tc>
        <w:tc>
          <w:tcPr>
            <w:tcW w:w="3720" w:type="dxa"/>
            <w:tcBorders>
              <w:top w:val="nil"/>
              <w:left w:val="nil"/>
              <w:bottom w:val="single" w:sz="8" w:space="0" w:color="auto"/>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Digital Mapping Tools Used in BNH Management</w:t>
            </w:r>
            <w:r w:rsidRPr="00166C23">
              <w:rPr>
                <w:rFonts w:ascii="Calibri" w:eastAsia="Times New Roman" w:hAnsi="Calibri" w:cs="Calibri"/>
                <w:color w:val="000000"/>
                <w:sz w:val="14"/>
                <w:szCs w:val="14"/>
                <w:vertAlign w:val="superscript"/>
              </w:rPr>
              <w:t xml:space="preserve"> </w:t>
            </w:r>
          </w:p>
        </w:tc>
        <w:tc>
          <w:tcPr>
            <w:tcW w:w="3720" w:type="dxa"/>
            <w:tcBorders>
              <w:top w:val="nil"/>
              <w:left w:val="nil"/>
              <w:bottom w:val="single" w:sz="8" w:space="0" w:color="auto"/>
              <w:right w:val="single" w:sz="8" w:space="0" w:color="auto"/>
            </w:tcBorders>
            <w:shd w:val="clear" w:color="auto" w:fill="auto"/>
            <w:hideMark/>
          </w:tcPr>
          <w:p w:rsidR="00166C23" w:rsidRPr="00166C23" w:rsidRDefault="00166C23" w:rsidP="007204BC">
            <w:pPr>
              <w:rPr>
                <w:rFonts w:ascii="Calibri" w:eastAsia="Times New Roman" w:hAnsi="Calibri" w:cs="Calibri"/>
                <w:color w:val="000000"/>
                <w:sz w:val="14"/>
                <w:szCs w:val="14"/>
              </w:rPr>
            </w:pPr>
            <w:r w:rsidRPr="00166C23">
              <w:rPr>
                <w:rFonts w:ascii="Calibri" w:eastAsia="Times New Roman" w:hAnsi="Calibri" w:cs="Calibri"/>
                <w:color w:val="000000"/>
                <w:sz w:val="14"/>
                <w:szCs w:val="14"/>
              </w:rPr>
              <w:t>Introduces spatial information technology used by BNH managers to collect and use environmental and other data in land and fire management activities to map, monitor, assess and report strategic BNH management planning and response operations, to maximise ecological health and crucially, minimise risk.</w:t>
            </w:r>
          </w:p>
        </w:tc>
        <w:tc>
          <w:tcPr>
            <w:tcW w:w="1080" w:type="dxa"/>
            <w:tcBorders>
              <w:top w:val="nil"/>
              <w:left w:val="nil"/>
              <w:bottom w:val="single" w:sz="8" w:space="0" w:color="auto"/>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w:t>
            </w:r>
          </w:p>
        </w:tc>
        <w:tc>
          <w:tcPr>
            <w:tcW w:w="1080" w:type="dxa"/>
            <w:tcBorders>
              <w:top w:val="nil"/>
              <w:left w:val="nil"/>
              <w:bottom w:val="single" w:sz="8" w:space="0" w:color="auto"/>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w:t>
            </w:r>
          </w:p>
        </w:tc>
        <w:tc>
          <w:tcPr>
            <w:tcW w:w="2600" w:type="dxa"/>
            <w:gridSpan w:val="2"/>
            <w:tcBorders>
              <w:top w:val="single" w:sz="8" w:space="0" w:color="auto"/>
              <w:left w:val="nil"/>
              <w:bottom w:val="single" w:sz="8" w:space="0" w:color="auto"/>
              <w:right w:val="single" w:sz="8" w:space="0" w:color="000000"/>
            </w:tcBorders>
            <w:shd w:val="clear" w:color="auto" w:fill="auto"/>
            <w:hideMark/>
          </w:tcPr>
          <w:p w:rsidR="00166C23" w:rsidRPr="00777A30" w:rsidRDefault="00166C23" w:rsidP="007204BC">
            <w:pPr>
              <w:jc w:val="center"/>
              <w:rPr>
                <w:rFonts w:ascii="Calibri" w:eastAsia="Times New Roman" w:hAnsi="Calibri" w:cs="Calibri"/>
                <w:color w:val="000000"/>
                <w:sz w:val="15"/>
                <w:szCs w:val="15"/>
              </w:rPr>
            </w:pPr>
            <w:r w:rsidRPr="00777A30">
              <w:rPr>
                <w:rFonts w:ascii="Calibri" w:eastAsia="Times New Roman" w:hAnsi="Calibri" w:cs="Calibri"/>
                <w:color w:val="000000"/>
                <w:sz w:val="15"/>
                <w:szCs w:val="15"/>
              </w:rPr>
              <w:t>Practical Application &amp; Assessment Task Booklet</w:t>
            </w:r>
          </w:p>
        </w:tc>
        <w:tc>
          <w:tcPr>
            <w:tcW w:w="1300" w:type="dxa"/>
            <w:tcBorders>
              <w:top w:val="nil"/>
              <w:left w:val="nil"/>
              <w:bottom w:val="single" w:sz="8" w:space="0" w:color="auto"/>
              <w:right w:val="single" w:sz="8" w:space="0" w:color="auto"/>
            </w:tcBorders>
            <w:shd w:val="clear" w:color="auto" w:fill="auto"/>
            <w:hideMark/>
          </w:tcPr>
          <w:p w:rsidR="00166C23" w:rsidRPr="00777A30" w:rsidRDefault="00166C23" w:rsidP="007204BC">
            <w:pPr>
              <w:rPr>
                <w:rFonts w:ascii="Calibri" w:eastAsia="Times New Roman" w:hAnsi="Calibri" w:cs="Calibri"/>
                <w:color w:val="000000"/>
                <w:sz w:val="15"/>
                <w:szCs w:val="15"/>
              </w:rPr>
            </w:pPr>
            <w:r w:rsidRPr="00777A30">
              <w:rPr>
                <w:rFonts w:ascii="Calibri" w:eastAsia="Times New Roman" w:hAnsi="Calibri" w:cs="Calibri"/>
                <w:color w:val="000000"/>
                <w:sz w:val="15"/>
                <w:szCs w:val="15"/>
              </w:rPr>
              <w:t>Training Manual</w:t>
            </w:r>
          </w:p>
        </w:tc>
      </w:tr>
      <w:tr w:rsidR="00166C23" w:rsidRPr="00777A30" w:rsidTr="00166C23">
        <w:trPr>
          <w:trHeight w:hRule="exact" w:val="652"/>
        </w:trPr>
        <w:tc>
          <w:tcPr>
            <w:tcW w:w="1300" w:type="dxa"/>
            <w:tcBorders>
              <w:top w:val="nil"/>
              <w:left w:val="single" w:sz="8" w:space="0" w:color="auto"/>
              <w:bottom w:val="single" w:sz="8" w:space="0" w:color="auto"/>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TETBNH306</w:t>
            </w:r>
          </w:p>
        </w:tc>
        <w:tc>
          <w:tcPr>
            <w:tcW w:w="3720" w:type="dxa"/>
            <w:tcBorders>
              <w:top w:val="nil"/>
              <w:left w:val="nil"/>
              <w:bottom w:val="single" w:sz="8" w:space="0" w:color="auto"/>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Apply Standard Operating Procedures (SOPs)</w:t>
            </w:r>
          </w:p>
        </w:tc>
        <w:tc>
          <w:tcPr>
            <w:tcW w:w="3720" w:type="dxa"/>
            <w:tcBorders>
              <w:top w:val="nil"/>
              <w:left w:val="nil"/>
              <w:bottom w:val="single" w:sz="8" w:space="0" w:color="auto"/>
              <w:right w:val="single" w:sz="8" w:space="0" w:color="auto"/>
            </w:tcBorders>
            <w:shd w:val="clear" w:color="auto" w:fill="auto"/>
            <w:hideMark/>
          </w:tcPr>
          <w:p w:rsidR="00166C23" w:rsidRPr="00166C23" w:rsidRDefault="00166C23" w:rsidP="007204BC">
            <w:pPr>
              <w:rPr>
                <w:rFonts w:ascii="Calibri" w:eastAsia="Times New Roman" w:hAnsi="Calibri" w:cs="Calibri"/>
                <w:color w:val="000000"/>
                <w:sz w:val="14"/>
                <w:szCs w:val="14"/>
              </w:rPr>
            </w:pPr>
            <w:r w:rsidRPr="00166C23">
              <w:rPr>
                <w:rFonts w:ascii="Calibri" w:eastAsia="Times New Roman" w:hAnsi="Calibri" w:cs="Calibri"/>
                <w:color w:val="000000"/>
                <w:sz w:val="14"/>
                <w:szCs w:val="14"/>
              </w:rPr>
              <w:t>Introduction to Standard Operating Procedures (SOP's) used in BNH with a focus on those that relate to the Top End of Australia.</w:t>
            </w:r>
          </w:p>
        </w:tc>
        <w:tc>
          <w:tcPr>
            <w:tcW w:w="1080" w:type="dxa"/>
            <w:tcBorders>
              <w:top w:val="nil"/>
              <w:left w:val="nil"/>
              <w:bottom w:val="single" w:sz="8" w:space="0" w:color="auto"/>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w:t>
            </w:r>
          </w:p>
        </w:tc>
        <w:tc>
          <w:tcPr>
            <w:tcW w:w="1080" w:type="dxa"/>
            <w:tcBorders>
              <w:top w:val="nil"/>
              <w:left w:val="nil"/>
              <w:bottom w:val="single" w:sz="8" w:space="0" w:color="auto"/>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w:t>
            </w:r>
          </w:p>
        </w:tc>
        <w:tc>
          <w:tcPr>
            <w:tcW w:w="2600" w:type="dxa"/>
            <w:gridSpan w:val="2"/>
            <w:tcBorders>
              <w:top w:val="single" w:sz="8" w:space="0" w:color="auto"/>
              <w:left w:val="nil"/>
              <w:bottom w:val="single" w:sz="8" w:space="0" w:color="auto"/>
              <w:right w:val="single" w:sz="8" w:space="0" w:color="000000"/>
            </w:tcBorders>
            <w:shd w:val="clear" w:color="auto" w:fill="auto"/>
            <w:hideMark/>
          </w:tcPr>
          <w:p w:rsidR="00166C23" w:rsidRPr="00777A30" w:rsidRDefault="00166C23" w:rsidP="007204BC">
            <w:pPr>
              <w:jc w:val="center"/>
              <w:rPr>
                <w:rFonts w:ascii="Calibri" w:eastAsia="Times New Roman" w:hAnsi="Calibri" w:cs="Calibri"/>
                <w:color w:val="000000"/>
                <w:sz w:val="15"/>
                <w:szCs w:val="15"/>
              </w:rPr>
            </w:pPr>
            <w:r w:rsidRPr="00777A30">
              <w:rPr>
                <w:rFonts w:ascii="Calibri" w:eastAsia="Times New Roman" w:hAnsi="Calibri" w:cs="Calibri"/>
                <w:color w:val="000000"/>
                <w:sz w:val="15"/>
                <w:szCs w:val="15"/>
              </w:rPr>
              <w:t>Debrief Participation</w:t>
            </w:r>
          </w:p>
        </w:tc>
        <w:tc>
          <w:tcPr>
            <w:tcW w:w="1300" w:type="dxa"/>
            <w:tcBorders>
              <w:top w:val="nil"/>
              <w:left w:val="nil"/>
              <w:bottom w:val="single" w:sz="8" w:space="0" w:color="auto"/>
              <w:right w:val="single" w:sz="8" w:space="0" w:color="auto"/>
            </w:tcBorders>
            <w:shd w:val="clear" w:color="auto" w:fill="auto"/>
            <w:hideMark/>
          </w:tcPr>
          <w:p w:rsidR="00166C23" w:rsidRPr="00777A30" w:rsidRDefault="00166C23" w:rsidP="007204BC">
            <w:pPr>
              <w:rPr>
                <w:rFonts w:ascii="Calibri" w:eastAsia="Times New Roman" w:hAnsi="Calibri" w:cs="Calibri"/>
                <w:color w:val="000000"/>
                <w:sz w:val="15"/>
                <w:szCs w:val="15"/>
              </w:rPr>
            </w:pPr>
            <w:r>
              <w:rPr>
                <w:rFonts w:ascii="Calibri" w:eastAsia="Times New Roman" w:hAnsi="Calibri" w:cs="Calibri"/>
                <w:color w:val="000000"/>
                <w:sz w:val="15"/>
                <w:szCs w:val="15"/>
              </w:rPr>
              <w:t>Guide</w:t>
            </w:r>
          </w:p>
        </w:tc>
      </w:tr>
      <w:tr w:rsidR="00166C23" w:rsidRPr="00777A30" w:rsidTr="00166C23">
        <w:trPr>
          <w:trHeight w:hRule="exact" w:val="652"/>
        </w:trPr>
        <w:tc>
          <w:tcPr>
            <w:tcW w:w="1300" w:type="dxa"/>
            <w:tcBorders>
              <w:top w:val="nil"/>
              <w:left w:val="single" w:sz="8" w:space="0" w:color="auto"/>
              <w:bottom w:val="nil"/>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TETBNH307</w:t>
            </w:r>
          </w:p>
        </w:tc>
        <w:tc>
          <w:tcPr>
            <w:tcW w:w="3720" w:type="dxa"/>
            <w:tcBorders>
              <w:top w:val="nil"/>
              <w:left w:val="nil"/>
              <w:bottom w:val="nil"/>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Participate in Debrief (Local Variant)</w:t>
            </w:r>
          </w:p>
        </w:tc>
        <w:tc>
          <w:tcPr>
            <w:tcW w:w="3720" w:type="dxa"/>
            <w:tcBorders>
              <w:top w:val="nil"/>
              <w:left w:val="nil"/>
              <w:bottom w:val="nil"/>
              <w:right w:val="single" w:sz="8" w:space="0" w:color="auto"/>
            </w:tcBorders>
            <w:shd w:val="clear" w:color="auto" w:fill="auto"/>
            <w:hideMark/>
          </w:tcPr>
          <w:p w:rsidR="00166C23" w:rsidRPr="00166C23" w:rsidRDefault="00166C23" w:rsidP="007204BC">
            <w:pPr>
              <w:rPr>
                <w:rFonts w:ascii="Calibri" w:eastAsia="Times New Roman" w:hAnsi="Calibri" w:cs="Calibri"/>
                <w:color w:val="000000"/>
                <w:sz w:val="14"/>
                <w:szCs w:val="14"/>
              </w:rPr>
            </w:pPr>
            <w:r w:rsidRPr="00166C23">
              <w:rPr>
                <w:rFonts w:ascii="Calibri" w:eastAsia="Times New Roman" w:hAnsi="Calibri" w:cs="Calibri"/>
                <w:color w:val="000000"/>
                <w:sz w:val="14"/>
                <w:szCs w:val="14"/>
              </w:rPr>
              <w:t>Introduction to debriefing including rationale and procedures/techniques for BNH management, particularly in the Top End of Australia.</w:t>
            </w:r>
          </w:p>
        </w:tc>
        <w:tc>
          <w:tcPr>
            <w:tcW w:w="1080" w:type="dxa"/>
            <w:tcBorders>
              <w:top w:val="nil"/>
              <w:left w:val="nil"/>
              <w:bottom w:val="nil"/>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w:t>
            </w:r>
          </w:p>
        </w:tc>
        <w:tc>
          <w:tcPr>
            <w:tcW w:w="1080" w:type="dxa"/>
            <w:tcBorders>
              <w:top w:val="nil"/>
              <w:left w:val="nil"/>
              <w:bottom w:val="nil"/>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w:t>
            </w:r>
          </w:p>
        </w:tc>
        <w:tc>
          <w:tcPr>
            <w:tcW w:w="2600" w:type="dxa"/>
            <w:gridSpan w:val="2"/>
            <w:tcBorders>
              <w:top w:val="nil"/>
              <w:left w:val="nil"/>
              <w:bottom w:val="single" w:sz="8" w:space="0" w:color="auto"/>
              <w:right w:val="single" w:sz="8" w:space="0" w:color="000000"/>
            </w:tcBorders>
            <w:shd w:val="clear" w:color="auto" w:fill="auto"/>
            <w:hideMark/>
          </w:tcPr>
          <w:p w:rsidR="00166C23" w:rsidRPr="00777A30" w:rsidRDefault="00166C23" w:rsidP="007204BC">
            <w:pPr>
              <w:jc w:val="center"/>
              <w:rPr>
                <w:rFonts w:ascii="Calibri" w:eastAsia="Times New Roman" w:hAnsi="Calibri" w:cs="Calibri"/>
                <w:color w:val="000000"/>
                <w:sz w:val="15"/>
                <w:szCs w:val="15"/>
              </w:rPr>
            </w:pPr>
            <w:r w:rsidRPr="00777A30">
              <w:rPr>
                <w:rFonts w:ascii="Calibri" w:eastAsia="Times New Roman" w:hAnsi="Calibri" w:cs="Calibri"/>
                <w:color w:val="000000"/>
                <w:sz w:val="15"/>
                <w:szCs w:val="15"/>
              </w:rPr>
              <w:t>Debrief Participation</w:t>
            </w:r>
          </w:p>
        </w:tc>
        <w:tc>
          <w:tcPr>
            <w:tcW w:w="1300" w:type="dxa"/>
            <w:tcBorders>
              <w:top w:val="nil"/>
              <w:left w:val="nil"/>
              <w:bottom w:val="nil"/>
              <w:right w:val="single" w:sz="8" w:space="0" w:color="auto"/>
            </w:tcBorders>
            <w:shd w:val="clear" w:color="auto" w:fill="auto"/>
            <w:hideMark/>
          </w:tcPr>
          <w:p w:rsidR="00166C23" w:rsidRPr="00777A30" w:rsidRDefault="00166C23" w:rsidP="007204BC">
            <w:pPr>
              <w:rPr>
                <w:rFonts w:ascii="Calibri" w:eastAsia="Times New Roman" w:hAnsi="Calibri" w:cs="Calibri"/>
                <w:color w:val="000000"/>
                <w:sz w:val="15"/>
                <w:szCs w:val="15"/>
              </w:rPr>
            </w:pPr>
            <w:r w:rsidRPr="00777A30">
              <w:rPr>
                <w:rFonts w:ascii="Calibri" w:eastAsia="Times New Roman" w:hAnsi="Calibri" w:cs="Calibri"/>
                <w:color w:val="000000"/>
                <w:sz w:val="15"/>
                <w:szCs w:val="15"/>
              </w:rPr>
              <w:t xml:space="preserve">Film Clips </w:t>
            </w:r>
          </w:p>
        </w:tc>
      </w:tr>
      <w:tr w:rsidR="00166C23" w:rsidRPr="00777A30" w:rsidTr="00166C23">
        <w:trPr>
          <w:trHeight w:hRule="exact" w:val="652"/>
        </w:trPr>
        <w:tc>
          <w:tcPr>
            <w:tcW w:w="1300" w:type="dxa"/>
            <w:tcBorders>
              <w:top w:val="single" w:sz="8" w:space="0" w:color="auto"/>
              <w:left w:val="single" w:sz="8" w:space="0" w:color="auto"/>
              <w:bottom w:val="nil"/>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TETBNH308</w:t>
            </w:r>
          </w:p>
        </w:tc>
        <w:tc>
          <w:tcPr>
            <w:tcW w:w="3720" w:type="dxa"/>
            <w:tcBorders>
              <w:top w:val="single" w:sz="8" w:space="0" w:color="auto"/>
              <w:left w:val="nil"/>
              <w:bottom w:val="nil"/>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Advanced Situational Awareness and Dynamic Risk Assessment (Local Variant)</w:t>
            </w:r>
          </w:p>
        </w:tc>
        <w:tc>
          <w:tcPr>
            <w:tcW w:w="3720" w:type="dxa"/>
            <w:tcBorders>
              <w:top w:val="single" w:sz="8" w:space="0" w:color="auto"/>
              <w:left w:val="nil"/>
              <w:bottom w:val="nil"/>
              <w:right w:val="single" w:sz="8" w:space="0" w:color="auto"/>
            </w:tcBorders>
            <w:shd w:val="clear" w:color="auto" w:fill="auto"/>
            <w:hideMark/>
          </w:tcPr>
          <w:p w:rsidR="00166C23" w:rsidRPr="00166C23" w:rsidRDefault="00166C23" w:rsidP="007204BC">
            <w:pPr>
              <w:rPr>
                <w:rFonts w:ascii="Calibri" w:eastAsia="Times New Roman" w:hAnsi="Calibri" w:cs="Calibri"/>
                <w:color w:val="000000"/>
                <w:sz w:val="14"/>
                <w:szCs w:val="14"/>
              </w:rPr>
            </w:pPr>
            <w:r w:rsidRPr="00166C23">
              <w:rPr>
                <w:rFonts w:ascii="Calibri" w:eastAsia="Times New Roman" w:hAnsi="Calibri" w:cs="Calibri"/>
                <w:color w:val="000000"/>
                <w:sz w:val="14"/>
                <w:szCs w:val="14"/>
              </w:rPr>
              <w:t>Overview of current risk assessment approaches focusing on development of Situational awareness; commonly used in the BNH/ EFM sector.</w:t>
            </w:r>
          </w:p>
        </w:tc>
        <w:tc>
          <w:tcPr>
            <w:tcW w:w="1080" w:type="dxa"/>
            <w:tcBorders>
              <w:top w:val="single" w:sz="8" w:space="0" w:color="auto"/>
              <w:left w:val="nil"/>
              <w:bottom w:val="nil"/>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w:t>
            </w:r>
          </w:p>
        </w:tc>
        <w:tc>
          <w:tcPr>
            <w:tcW w:w="1080" w:type="dxa"/>
            <w:tcBorders>
              <w:top w:val="single" w:sz="8" w:space="0" w:color="auto"/>
              <w:left w:val="nil"/>
              <w:bottom w:val="nil"/>
              <w:right w:val="single" w:sz="8" w:space="0" w:color="auto"/>
            </w:tcBorders>
            <w:shd w:val="clear" w:color="auto" w:fill="auto"/>
            <w:hideMark/>
          </w:tcPr>
          <w:p w:rsidR="00166C23" w:rsidRPr="00166C23" w:rsidRDefault="00166C23" w:rsidP="007204BC">
            <w:pPr>
              <w:jc w:val="center"/>
              <w:rPr>
                <w:rFonts w:ascii="Calibri" w:eastAsia="Times New Roman" w:hAnsi="Calibri" w:cs="Calibri"/>
                <w:color w:val="000000"/>
                <w:sz w:val="14"/>
                <w:szCs w:val="14"/>
              </w:rPr>
            </w:pPr>
            <w:r w:rsidRPr="00166C23">
              <w:rPr>
                <w:rFonts w:ascii="Calibri" w:eastAsia="Times New Roman" w:hAnsi="Calibri" w:cs="Calibri"/>
                <w:color w:val="000000"/>
                <w:sz w:val="14"/>
                <w:szCs w:val="14"/>
              </w:rPr>
              <w:t>*</w:t>
            </w:r>
          </w:p>
        </w:tc>
        <w:tc>
          <w:tcPr>
            <w:tcW w:w="2600" w:type="dxa"/>
            <w:gridSpan w:val="2"/>
            <w:tcBorders>
              <w:top w:val="single" w:sz="8" w:space="0" w:color="auto"/>
              <w:left w:val="nil"/>
              <w:bottom w:val="single" w:sz="8" w:space="0" w:color="auto"/>
              <w:right w:val="single" w:sz="8" w:space="0" w:color="000000"/>
            </w:tcBorders>
            <w:shd w:val="clear" w:color="auto" w:fill="auto"/>
            <w:hideMark/>
          </w:tcPr>
          <w:p w:rsidR="00166C23" w:rsidRPr="00777A30" w:rsidRDefault="00166C23" w:rsidP="007204BC">
            <w:pPr>
              <w:jc w:val="center"/>
              <w:rPr>
                <w:rFonts w:ascii="Calibri" w:eastAsia="Times New Roman" w:hAnsi="Calibri" w:cs="Calibri"/>
                <w:color w:val="000000"/>
                <w:sz w:val="15"/>
                <w:szCs w:val="15"/>
              </w:rPr>
            </w:pPr>
            <w:r w:rsidRPr="00777A30">
              <w:rPr>
                <w:rFonts w:ascii="Calibri" w:eastAsia="Times New Roman" w:hAnsi="Calibri" w:cs="Calibri"/>
                <w:color w:val="000000"/>
                <w:sz w:val="15"/>
                <w:szCs w:val="15"/>
              </w:rPr>
              <w:t>Activity 1: Risk assessment in planning</w:t>
            </w:r>
          </w:p>
        </w:tc>
        <w:tc>
          <w:tcPr>
            <w:tcW w:w="1300" w:type="dxa"/>
            <w:tcBorders>
              <w:top w:val="single" w:sz="8" w:space="0" w:color="auto"/>
              <w:left w:val="nil"/>
              <w:bottom w:val="nil"/>
              <w:right w:val="single" w:sz="8" w:space="0" w:color="auto"/>
            </w:tcBorders>
            <w:shd w:val="clear" w:color="auto" w:fill="auto"/>
            <w:hideMark/>
          </w:tcPr>
          <w:p w:rsidR="00166C23" w:rsidRPr="00777A30" w:rsidRDefault="00166C23" w:rsidP="007204BC">
            <w:pPr>
              <w:rPr>
                <w:rFonts w:ascii="Calibri" w:eastAsia="Times New Roman" w:hAnsi="Calibri" w:cs="Calibri"/>
                <w:color w:val="000000"/>
                <w:sz w:val="15"/>
                <w:szCs w:val="15"/>
              </w:rPr>
            </w:pPr>
            <w:r>
              <w:rPr>
                <w:rFonts w:ascii="Calibri" w:eastAsia="Times New Roman" w:hAnsi="Calibri" w:cs="Calibri"/>
                <w:color w:val="000000"/>
                <w:sz w:val="15"/>
                <w:szCs w:val="15"/>
              </w:rPr>
              <w:t>Guide</w:t>
            </w:r>
          </w:p>
        </w:tc>
      </w:tr>
      <w:tr w:rsidR="00166C23" w:rsidRPr="00777A30" w:rsidTr="00166C23">
        <w:trPr>
          <w:trHeight w:hRule="exact" w:val="652"/>
        </w:trPr>
        <w:tc>
          <w:tcPr>
            <w:tcW w:w="1300" w:type="dxa"/>
            <w:tcBorders>
              <w:top w:val="single" w:sz="8" w:space="0" w:color="auto"/>
              <w:left w:val="single" w:sz="8" w:space="0" w:color="auto"/>
              <w:bottom w:val="nil"/>
              <w:right w:val="single" w:sz="8" w:space="0" w:color="auto"/>
            </w:tcBorders>
            <w:shd w:val="clear" w:color="auto" w:fill="auto"/>
            <w:hideMark/>
          </w:tcPr>
          <w:p w:rsidR="00166C23" w:rsidRPr="00777A30" w:rsidRDefault="00166C23" w:rsidP="007204BC">
            <w:pPr>
              <w:jc w:val="center"/>
              <w:rPr>
                <w:rFonts w:ascii="Calibri" w:eastAsia="Times New Roman" w:hAnsi="Calibri" w:cs="Calibri"/>
                <w:color w:val="000000"/>
                <w:sz w:val="15"/>
                <w:szCs w:val="15"/>
              </w:rPr>
            </w:pPr>
            <w:r w:rsidRPr="00777A30">
              <w:rPr>
                <w:rFonts w:ascii="Calibri" w:eastAsia="Times New Roman" w:hAnsi="Calibri" w:cs="Calibri"/>
                <w:color w:val="000000"/>
                <w:sz w:val="15"/>
                <w:szCs w:val="15"/>
              </w:rPr>
              <w:t>TETBNH309</w:t>
            </w:r>
          </w:p>
        </w:tc>
        <w:tc>
          <w:tcPr>
            <w:tcW w:w="3720" w:type="dxa"/>
            <w:tcBorders>
              <w:top w:val="single" w:sz="8" w:space="0" w:color="auto"/>
              <w:left w:val="nil"/>
              <w:bottom w:val="nil"/>
              <w:right w:val="single" w:sz="8" w:space="0" w:color="auto"/>
            </w:tcBorders>
            <w:shd w:val="clear" w:color="auto" w:fill="auto"/>
            <w:hideMark/>
          </w:tcPr>
          <w:p w:rsidR="00166C23" w:rsidRPr="00777A30" w:rsidRDefault="00166C23" w:rsidP="007204BC">
            <w:pPr>
              <w:jc w:val="center"/>
              <w:rPr>
                <w:rFonts w:ascii="Calibri" w:eastAsia="Times New Roman" w:hAnsi="Calibri" w:cs="Calibri"/>
                <w:color w:val="000000"/>
                <w:sz w:val="15"/>
                <w:szCs w:val="15"/>
              </w:rPr>
            </w:pPr>
            <w:r w:rsidRPr="00777A30">
              <w:rPr>
                <w:rFonts w:ascii="Calibri" w:eastAsia="Times New Roman" w:hAnsi="Calibri" w:cs="Calibri"/>
                <w:color w:val="000000"/>
                <w:sz w:val="15"/>
                <w:szCs w:val="15"/>
              </w:rPr>
              <w:t>Remote Tactical Leadership</w:t>
            </w:r>
          </w:p>
        </w:tc>
        <w:tc>
          <w:tcPr>
            <w:tcW w:w="3720" w:type="dxa"/>
            <w:tcBorders>
              <w:top w:val="single" w:sz="8" w:space="0" w:color="auto"/>
              <w:left w:val="nil"/>
              <w:bottom w:val="nil"/>
              <w:right w:val="single" w:sz="8" w:space="0" w:color="auto"/>
            </w:tcBorders>
            <w:shd w:val="clear" w:color="auto" w:fill="auto"/>
            <w:hideMark/>
          </w:tcPr>
          <w:p w:rsidR="00166C23" w:rsidRPr="00777A30" w:rsidRDefault="00166C23" w:rsidP="007204BC">
            <w:pPr>
              <w:rPr>
                <w:rFonts w:ascii="Calibri" w:eastAsia="Times New Roman" w:hAnsi="Calibri" w:cs="Calibri"/>
                <w:color w:val="000000"/>
                <w:sz w:val="15"/>
                <w:szCs w:val="15"/>
              </w:rPr>
            </w:pPr>
            <w:r>
              <w:rPr>
                <w:rFonts w:ascii="Calibri" w:eastAsia="Times New Roman" w:hAnsi="Calibri" w:cs="Calibri"/>
                <w:color w:val="000000"/>
                <w:sz w:val="15"/>
                <w:szCs w:val="15"/>
              </w:rPr>
              <w:t>Introduction to BNH leadership utilising relevant components of local indigenous and government agency leadership protocols in a BNH context.</w:t>
            </w:r>
          </w:p>
        </w:tc>
        <w:tc>
          <w:tcPr>
            <w:tcW w:w="1080" w:type="dxa"/>
            <w:tcBorders>
              <w:top w:val="single" w:sz="8" w:space="0" w:color="auto"/>
              <w:left w:val="nil"/>
              <w:bottom w:val="nil"/>
              <w:right w:val="single" w:sz="8" w:space="0" w:color="auto"/>
            </w:tcBorders>
            <w:shd w:val="clear" w:color="auto" w:fill="F2F2F2" w:themeFill="background1" w:themeFillShade="F2"/>
            <w:hideMark/>
          </w:tcPr>
          <w:p w:rsidR="00166C23" w:rsidRPr="00777A30" w:rsidRDefault="00166C23" w:rsidP="007204BC">
            <w:pPr>
              <w:jc w:val="center"/>
              <w:rPr>
                <w:rFonts w:ascii="Calibri" w:eastAsia="Times New Roman" w:hAnsi="Calibri" w:cs="Calibri"/>
                <w:color w:val="000000"/>
                <w:sz w:val="15"/>
                <w:szCs w:val="15"/>
              </w:rPr>
            </w:pPr>
            <w:r>
              <w:rPr>
                <w:rFonts w:ascii="Calibri" w:eastAsia="Times New Roman" w:hAnsi="Calibri" w:cs="Calibri"/>
                <w:color w:val="000000"/>
                <w:sz w:val="15"/>
                <w:szCs w:val="15"/>
              </w:rPr>
              <w:t>*</w:t>
            </w:r>
          </w:p>
        </w:tc>
        <w:tc>
          <w:tcPr>
            <w:tcW w:w="1080" w:type="dxa"/>
            <w:tcBorders>
              <w:top w:val="single" w:sz="8" w:space="0" w:color="auto"/>
              <w:left w:val="nil"/>
              <w:bottom w:val="nil"/>
              <w:right w:val="single" w:sz="8" w:space="0" w:color="auto"/>
            </w:tcBorders>
            <w:shd w:val="clear" w:color="auto" w:fill="F2F2F2" w:themeFill="background1" w:themeFillShade="F2"/>
            <w:hideMark/>
          </w:tcPr>
          <w:p w:rsidR="00166C23" w:rsidRPr="00777A30" w:rsidRDefault="00166C23" w:rsidP="007204BC">
            <w:pPr>
              <w:jc w:val="center"/>
              <w:rPr>
                <w:rFonts w:ascii="Calibri" w:eastAsia="Times New Roman" w:hAnsi="Calibri" w:cs="Calibri"/>
                <w:color w:val="000000"/>
                <w:sz w:val="15"/>
                <w:szCs w:val="15"/>
              </w:rPr>
            </w:pPr>
            <w:r>
              <w:rPr>
                <w:rFonts w:ascii="Calibri" w:eastAsia="Times New Roman" w:hAnsi="Calibri" w:cs="Calibri"/>
                <w:color w:val="000000"/>
                <w:sz w:val="15"/>
                <w:szCs w:val="15"/>
              </w:rPr>
              <w:t>*</w:t>
            </w:r>
          </w:p>
        </w:tc>
        <w:tc>
          <w:tcPr>
            <w:tcW w:w="1300" w:type="dxa"/>
            <w:tcBorders>
              <w:top w:val="nil"/>
              <w:left w:val="nil"/>
              <w:bottom w:val="nil"/>
              <w:right w:val="single" w:sz="8" w:space="0" w:color="auto"/>
            </w:tcBorders>
            <w:shd w:val="clear" w:color="auto" w:fill="F2F2F2" w:themeFill="background1" w:themeFillShade="F2"/>
            <w:hideMark/>
          </w:tcPr>
          <w:p w:rsidR="00166C23" w:rsidRPr="00777A30" w:rsidRDefault="00166C23" w:rsidP="007204BC">
            <w:pPr>
              <w:jc w:val="center"/>
              <w:rPr>
                <w:rFonts w:ascii="Calibri" w:eastAsia="Times New Roman" w:hAnsi="Calibri" w:cs="Calibri"/>
                <w:color w:val="000000"/>
                <w:sz w:val="15"/>
                <w:szCs w:val="15"/>
              </w:rPr>
            </w:pPr>
            <w:r>
              <w:rPr>
                <w:rFonts w:ascii="Calibri" w:eastAsia="Times New Roman" w:hAnsi="Calibri" w:cs="Calibri"/>
                <w:color w:val="000000"/>
                <w:sz w:val="15"/>
                <w:szCs w:val="15"/>
              </w:rPr>
              <w:t>Observation of Practical</w:t>
            </w:r>
          </w:p>
        </w:tc>
        <w:tc>
          <w:tcPr>
            <w:tcW w:w="1300" w:type="dxa"/>
            <w:tcBorders>
              <w:top w:val="nil"/>
              <w:left w:val="nil"/>
              <w:bottom w:val="nil"/>
              <w:right w:val="single" w:sz="8" w:space="0" w:color="auto"/>
            </w:tcBorders>
            <w:shd w:val="clear" w:color="auto" w:fill="F2F2F2" w:themeFill="background1" w:themeFillShade="F2"/>
            <w:hideMark/>
          </w:tcPr>
          <w:p w:rsidR="00166C23" w:rsidRPr="00777A30" w:rsidRDefault="00166C23" w:rsidP="007204BC">
            <w:pPr>
              <w:jc w:val="center"/>
              <w:rPr>
                <w:rFonts w:ascii="Calibri" w:eastAsia="Times New Roman" w:hAnsi="Calibri" w:cs="Calibri"/>
                <w:color w:val="000000"/>
                <w:sz w:val="15"/>
                <w:szCs w:val="15"/>
              </w:rPr>
            </w:pPr>
            <w:r>
              <w:rPr>
                <w:rFonts w:ascii="Calibri" w:eastAsia="Times New Roman" w:hAnsi="Calibri" w:cs="Calibri"/>
                <w:color w:val="000000"/>
                <w:sz w:val="15"/>
                <w:szCs w:val="15"/>
              </w:rPr>
              <w:t>Practical</w:t>
            </w:r>
          </w:p>
        </w:tc>
        <w:tc>
          <w:tcPr>
            <w:tcW w:w="1300" w:type="dxa"/>
            <w:tcBorders>
              <w:top w:val="single" w:sz="8" w:space="0" w:color="auto"/>
              <w:left w:val="nil"/>
              <w:bottom w:val="nil"/>
              <w:right w:val="single" w:sz="8" w:space="0" w:color="auto"/>
            </w:tcBorders>
            <w:shd w:val="clear" w:color="auto" w:fill="F2F2F2" w:themeFill="background1" w:themeFillShade="F2"/>
            <w:hideMark/>
          </w:tcPr>
          <w:p w:rsidR="00166C23" w:rsidRPr="00777A30" w:rsidRDefault="00166C23" w:rsidP="007204BC">
            <w:pPr>
              <w:rPr>
                <w:rFonts w:ascii="Calibri" w:eastAsia="Times New Roman" w:hAnsi="Calibri" w:cs="Calibri"/>
                <w:color w:val="000000"/>
                <w:sz w:val="15"/>
                <w:szCs w:val="15"/>
              </w:rPr>
            </w:pPr>
            <w:r>
              <w:rPr>
                <w:rFonts w:ascii="Calibri" w:eastAsia="Times New Roman" w:hAnsi="Calibri" w:cs="Calibri"/>
                <w:color w:val="000000"/>
                <w:sz w:val="15"/>
                <w:szCs w:val="15"/>
              </w:rPr>
              <w:t>Field Manual</w:t>
            </w:r>
          </w:p>
        </w:tc>
      </w:tr>
      <w:tr w:rsidR="00166C23" w:rsidRPr="00777A30" w:rsidTr="00166C23">
        <w:trPr>
          <w:trHeight w:hRule="exact" w:val="652"/>
        </w:trPr>
        <w:tc>
          <w:tcPr>
            <w:tcW w:w="1300" w:type="dxa"/>
            <w:tcBorders>
              <w:top w:val="single" w:sz="8" w:space="0" w:color="auto"/>
              <w:left w:val="single" w:sz="8" w:space="0" w:color="auto"/>
              <w:bottom w:val="single" w:sz="8" w:space="0" w:color="auto"/>
              <w:right w:val="single" w:sz="8" w:space="0" w:color="auto"/>
            </w:tcBorders>
            <w:shd w:val="clear" w:color="auto" w:fill="auto"/>
            <w:hideMark/>
          </w:tcPr>
          <w:p w:rsidR="00166C23" w:rsidRPr="00777A30" w:rsidRDefault="00166C23" w:rsidP="007204BC">
            <w:pPr>
              <w:jc w:val="center"/>
              <w:rPr>
                <w:rFonts w:ascii="Calibri" w:eastAsia="Times New Roman" w:hAnsi="Calibri" w:cs="Calibri"/>
                <w:color w:val="000000"/>
                <w:sz w:val="15"/>
                <w:szCs w:val="15"/>
              </w:rPr>
            </w:pPr>
            <w:r w:rsidRPr="00777A30">
              <w:rPr>
                <w:rFonts w:ascii="Calibri" w:eastAsia="Times New Roman" w:hAnsi="Calibri" w:cs="Calibri"/>
                <w:color w:val="000000"/>
                <w:sz w:val="15"/>
                <w:szCs w:val="15"/>
              </w:rPr>
              <w:t>TETBNH310</w:t>
            </w:r>
          </w:p>
        </w:tc>
        <w:tc>
          <w:tcPr>
            <w:tcW w:w="3720" w:type="dxa"/>
            <w:tcBorders>
              <w:top w:val="single" w:sz="8" w:space="0" w:color="auto"/>
              <w:left w:val="nil"/>
              <w:bottom w:val="single" w:sz="8" w:space="0" w:color="auto"/>
              <w:right w:val="single" w:sz="8" w:space="0" w:color="auto"/>
            </w:tcBorders>
            <w:shd w:val="clear" w:color="auto" w:fill="auto"/>
            <w:hideMark/>
          </w:tcPr>
          <w:p w:rsidR="00166C23" w:rsidRPr="00777A30" w:rsidRDefault="00166C23" w:rsidP="007204BC">
            <w:pPr>
              <w:jc w:val="center"/>
              <w:rPr>
                <w:rFonts w:ascii="Calibri" w:eastAsia="Times New Roman" w:hAnsi="Calibri" w:cs="Calibri"/>
                <w:color w:val="000000"/>
                <w:sz w:val="15"/>
                <w:szCs w:val="15"/>
              </w:rPr>
            </w:pPr>
            <w:r w:rsidRPr="00777A30">
              <w:rPr>
                <w:rFonts w:ascii="Calibri" w:eastAsia="Times New Roman" w:hAnsi="Calibri" w:cs="Calibri"/>
                <w:color w:val="000000"/>
                <w:sz w:val="15"/>
                <w:szCs w:val="15"/>
              </w:rPr>
              <w:t>Develop Operational Work Plans</w:t>
            </w:r>
          </w:p>
        </w:tc>
        <w:tc>
          <w:tcPr>
            <w:tcW w:w="3720" w:type="dxa"/>
            <w:tcBorders>
              <w:top w:val="single" w:sz="8" w:space="0" w:color="auto"/>
              <w:left w:val="nil"/>
              <w:bottom w:val="single" w:sz="8" w:space="0" w:color="auto"/>
              <w:right w:val="single" w:sz="8" w:space="0" w:color="auto"/>
            </w:tcBorders>
            <w:shd w:val="clear" w:color="auto" w:fill="auto"/>
            <w:hideMark/>
          </w:tcPr>
          <w:p w:rsidR="00166C23" w:rsidRPr="00777A30" w:rsidRDefault="00166C23" w:rsidP="007204BC">
            <w:pPr>
              <w:rPr>
                <w:rFonts w:ascii="Calibri" w:eastAsia="Times New Roman" w:hAnsi="Calibri" w:cs="Calibri"/>
                <w:color w:val="000000"/>
                <w:sz w:val="15"/>
                <w:szCs w:val="15"/>
              </w:rPr>
            </w:pPr>
            <w:r w:rsidRPr="00777A30">
              <w:rPr>
                <w:rFonts w:ascii="Calibri" w:eastAsia="Times New Roman" w:hAnsi="Calibri" w:cs="Calibri"/>
                <w:color w:val="000000"/>
                <w:sz w:val="15"/>
                <w:szCs w:val="15"/>
              </w:rPr>
              <w:t>Introduction to the nature of, and process</w:t>
            </w:r>
            <w:r>
              <w:rPr>
                <w:rFonts w:ascii="Calibri" w:eastAsia="Times New Roman" w:hAnsi="Calibri" w:cs="Calibri"/>
                <w:color w:val="000000"/>
                <w:sz w:val="15"/>
                <w:szCs w:val="15"/>
              </w:rPr>
              <w:t>es</w:t>
            </w:r>
            <w:r w:rsidRPr="00777A30">
              <w:rPr>
                <w:rFonts w:ascii="Calibri" w:eastAsia="Times New Roman" w:hAnsi="Calibri" w:cs="Calibri"/>
                <w:color w:val="000000"/>
                <w:sz w:val="15"/>
                <w:szCs w:val="15"/>
              </w:rPr>
              <w:t xml:space="preserve"> involved in, developing operational plans </w:t>
            </w:r>
            <w:r>
              <w:rPr>
                <w:rFonts w:ascii="Calibri" w:eastAsia="Times New Roman" w:hAnsi="Calibri" w:cs="Calibri"/>
                <w:color w:val="000000"/>
                <w:sz w:val="15"/>
                <w:szCs w:val="15"/>
              </w:rPr>
              <w:t>for</w:t>
            </w:r>
            <w:r w:rsidRPr="00777A30">
              <w:rPr>
                <w:rFonts w:ascii="Calibri" w:eastAsia="Times New Roman" w:hAnsi="Calibri" w:cs="Calibri"/>
                <w:color w:val="000000"/>
                <w:sz w:val="15"/>
                <w:szCs w:val="15"/>
              </w:rPr>
              <w:t xml:space="preserve"> BNH management</w:t>
            </w:r>
            <w:r>
              <w:rPr>
                <w:rFonts w:ascii="Calibri" w:eastAsia="Times New Roman" w:hAnsi="Calibri" w:cs="Calibri"/>
                <w:color w:val="000000"/>
                <w:sz w:val="15"/>
                <w:szCs w:val="15"/>
              </w:rPr>
              <w:t>.</w:t>
            </w:r>
          </w:p>
        </w:tc>
        <w:tc>
          <w:tcPr>
            <w:tcW w:w="1080" w:type="dxa"/>
            <w:tcBorders>
              <w:top w:val="single" w:sz="8" w:space="0" w:color="auto"/>
              <w:left w:val="nil"/>
              <w:bottom w:val="single" w:sz="8" w:space="0" w:color="auto"/>
              <w:right w:val="single" w:sz="8" w:space="0" w:color="auto"/>
            </w:tcBorders>
            <w:shd w:val="clear" w:color="auto" w:fill="auto"/>
            <w:hideMark/>
          </w:tcPr>
          <w:p w:rsidR="00166C23" w:rsidRPr="00777A30" w:rsidRDefault="00166C23" w:rsidP="007204BC">
            <w:pPr>
              <w:jc w:val="center"/>
              <w:rPr>
                <w:rFonts w:ascii="Calibri" w:eastAsia="Times New Roman" w:hAnsi="Calibri" w:cs="Calibri"/>
                <w:color w:val="000000"/>
                <w:sz w:val="15"/>
                <w:szCs w:val="15"/>
              </w:rPr>
            </w:pPr>
            <w:r w:rsidRPr="00777A30">
              <w:rPr>
                <w:rFonts w:ascii="Calibri" w:eastAsia="Times New Roman" w:hAnsi="Calibri" w:cs="Calibri"/>
                <w:color w:val="000000"/>
                <w:sz w:val="15"/>
                <w:szCs w:val="15"/>
              </w:rPr>
              <w:t>*</w:t>
            </w:r>
          </w:p>
        </w:tc>
        <w:tc>
          <w:tcPr>
            <w:tcW w:w="1080" w:type="dxa"/>
            <w:tcBorders>
              <w:top w:val="single" w:sz="8" w:space="0" w:color="auto"/>
              <w:left w:val="nil"/>
              <w:bottom w:val="single" w:sz="8" w:space="0" w:color="auto"/>
              <w:right w:val="single" w:sz="8" w:space="0" w:color="auto"/>
            </w:tcBorders>
            <w:shd w:val="clear" w:color="auto" w:fill="auto"/>
            <w:hideMark/>
          </w:tcPr>
          <w:p w:rsidR="00166C23" w:rsidRPr="00777A30" w:rsidRDefault="00166C23" w:rsidP="007204BC">
            <w:pPr>
              <w:jc w:val="center"/>
              <w:rPr>
                <w:rFonts w:ascii="Calibri" w:eastAsia="Times New Roman" w:hAnsi="Calibri" w:cs="Calibri"/>
                <w:color w:val="000000"/>
                <w:sz w:val="15"/>
                <w:szCs w:val="15"/>
              </w:rPr>
            </w:pPr>
            <w:r>
              <w:rPr>
                <w:rFonts w:ascii="Calibri" w:eastAsia="Times New Roman" w:hAnsi="Calibri" w:cs="Calibri"/>
                <w:color w:val="000000"/>
                <w:sz w:val="15"/>
                <w:szCs w:val="15"/>
              </w:rPr>
              <w:t>*</w:t>
            </w:r>
          </w:p>
        </w:tc>
        <w:tc>
          <w:tcPr>
            <w:tcW w:w="2600" w:type="dxa"/>
            <w:gridSpan w:val="2"/>
            <w:tcBorders>
              <w:top w:val="single" w:sz="8" w:space="0" w:color="auto"/>
              <w:left w:val="nil"/>
              <w:bottom w:val="single" w:sz="8" w:space="0" w:color="auto"/>
              <w:right w:val="single" w:sz="8" w:space="0" w:color="000000"/>
            </w:tcBorders>
            <w:shd w:val="clear" w:color="auto" w:fill="auto"/>
            <w:hideMark/>
          </w:tcPr>
          <w:p w:rsidR="00166C23" w:rsidRPr="00777A30" w:rsidRDefault="00166C23" w:rsidP="007204BC">
            <w:pPr>
              <w:jc w:val="center"/>
              <w:rPr>
                <w:rFonts w:ascii="Calibri" w:eastAsia="Times New Roman" w:hAnsi="Calibri" w:cs="Calibri"/>
                <w:color w:val="000000"/>
                <w:sz w:val="15"/>
                <w:szCs w:val="15"/>
              </w:rPr>
            </w:pPr>
            <w:r w:rsidRPr="00777A30">
              <w:rPr>
                <w:rFonts w:ascii="Calibri" w:eastAsia="Times New Roman" w:hAnsi="Calibri" w:cs="Calibri"/>
                <w:color w:val="000000"/>
                <w:sz w:val="15"/>
                <w:szCs w:val="15"/>
              </w:rPr>
              <w:t>Evaluate an OP</w:t>
            </w:r>
          </w:p>
        </w:tc>
        <w:tc>
          <w:tcPr>
            <w:tcW w:w="1300" w:type="dxa"/>
            <w:tcBorders>
              <w:top w:val="single" w:sz="8" w:space="0" w:color="auto"/>
              <w:left w:val="nil"/>
              <w:bottom w:val="single" w:sz="8" w:space="0" w:color="auto"/>
              <w:right w:val="single" w:sz="8" w:space="0" w:color="auto"/>
            </w:tcBorders>
            <w:shd w:val="clear" w:color="auto" w:fill="auto"/>
            <w:hideMark/>
          </w:tcPr>
          <w:p w:rsidR="00166C23" w:rsidRPr="00777A30" w:rsidRDefault="00166C23" w:rsidP="007204BC">
            <w:pPr>
              <w:rPr>
                <w:rFonts w:ascii="Calibri" w:eastAsia="Times New Roman" w:hAnsi="Calibri" w:cs="Calibri"/>
                <w:color w:val="000000"/>
                <w:sz w:val="15"/>
                <w:szCs w:val="15"/>
              </w:rPr>
            </w:pPr>
            <w:r w:rsidRPr="00777A30">
              <w:rPr>
                <w:rFonts w:ascii="Calibri" w:eastAsia="Times New Roman" w:hAnsi="Calibri" w:cs="Calibri"/>
                <w:color w:val="000000"/>
                <w:sz w:val="15"/>
                <w:szCs w:val="15"/>
              </w:rPr>
              <w:t>Examples of OPs</w:t>
            </w:r>
          </w:p>
        </w:tc>
      </w:tr>
    </w:tbl>
    <w:p w:rsidR="00166C23" w:rsidRPr="00166C23" w:rsidRDefault="00166C23" w:rsidP="00166C23">
      <w:pPr>
        <w:rPr>
          <w:lang w:val="en-US"/>
        </w:rPr>
        <w:sectPr w:rsidR="00166C23" w:rsidRPr="00166C23" w:rsidSect="00166C23">
          <w:pgSz w:w="16838" w:h="11906" w:orient="landscape"/>
          <w:pgMar w:top="720" w:right="720" w:bottom="720" w:left="720" w:header="708" w:footer="708" w:gutter="0"/>
          <w:cols w:space="708"/>
          <w:titlePg/>
          <w:docGrid w:linePitch="360"/>
        </w:sectPr>
      </w:pPr>
    </w:p>
    <w:p w:rsidR="00F67DF1" w:rsidRDefault="00335287" w:rsidP="0005019B">
      <w:pPr>
        <w:pStyle w:val="Heading1"/>
      </w:pPr>
      <w:bookmarkStart w:id="16" w:name="_Toc40268226"/>
      <w:r w:rsidRPr="0005019B">
        <w:lastRenderedPageBreak/>
        <w:t>TABLE</w:t>
      </w:r>
      <w:r w:rsidR="00B63144" w:rsidRPr="0005019B">
        <w:t xml:space="preserve"> 2: </w:t>
      </w:r>
      <w:r w:rsidR="00CA3CB1" w:rsidRPr="0005019B">
        <w:t>RESOURCE/</w:t>
      </w:r>
      <w:r w:rsidR="00F67DF1" w:rsidRPr="0005019B">
        <w:t>SUPPORT MATERIALS</w:t>
      </w:r>
      <w:bookmarkEnd w:id="16"/>
    </w:p>
    <w:p w:rsidR="00A622A1" w:rsidRPr="00A622A1" w:rsidRDefault="00A622A1" w:rsidP="00A622A1">
      <w:pPr>
        <w:rPr>
          <w:lang w:val="en-US"/>
        </w:rPr>
      </w:pPr>
    </w:p>
    <w:tbl>
      <w:tblPr>
        <w:tblStyle w:val="TableGrid"/>
        <w:tblW w:w="0" w:type="auto"/>
        <w:tblLayout w:type="fixed"/>
        <w:tblLook w:val="04A0" w:firstRow="1" w:lastRow="0" w:firstColumn="1" w:lastColumn="0" w:noHBand="0" w:noVBand="1"/>
      </w:tblPr>
      <w:tblGrid>
        <w:gridCol w:w="2802"/>
        <w:gridCol w:w="3543"/>
        <w:gridCol w:w="8789"/>
      </w:tblGrid>
      <w:tr w:rsidR="00C620FF" w:rsidRPr="00C620FF" w:rsidTr="004E7B32">
        <w:tc>
          <w:tcPr>
            <w:tcW w:w="2802" w:type="dxa"/>
            <w:shd w:val="clear" w:color="auto" w:fill="D6E3BC" w:themeFill="accent3" w:themeFillTint="66"/>
          </w:tcPr>
          <w:p w:rsidR="00C620FF" w:rsidRPr="00C620FF" w:rsidRDefault="00335287" w:rsidP="00A622A1">
            <w:r>
              <w:t>SUPPORT MATERIALS</w:t>
            </w:r>
          </w:p>
        </w:tc>
        <w:tc>
          <w:tcPr>
            <w:tcW w:w="3543" w:type="dxa"/>
            <w:shd w:val="clear" w:color="auto" w:fill="D6E3BC" w:themeFill="accent3" w:themeFillTint="66"/>
          </w:tcPr>
          <w:p w:rsidR="00C620FF" w:rsidRPr="00C620FF" w:rsidRDefault="007E6CED" w:rsidP="00A622A1">
            <w:r>
              <w:t>SITE</w:t>
            </w:r>
          </w:p>
        </w:tc>
        <w:tc>
          <w:tcPr>
            <w:tcW w:w="8789" w:type="dxa"/>
            <w:shd w:val="clear" w:color="auto" w:fill="D6E3BC" w:themeFill="accent3" w:themeFillTint="66"/>
          </w:tcPr>
          <w:p w:rsidR="00C620FF" w:rsidRPr="00C620FF" w:rsidRDefault="00C620FF" w:rsidP="00A622A1">
            <w:r>
              <w:t>PRECIS</w:t>
            </w:r>
          </w:p>
        </w:tc>
      </w:tr>
      <w:tr w:rsidR="00335287" w:rsidRPr="00C620FF" w:rsidTr="00804EA0">
        <w:tc>
          <w:tcPr>
            <w:tcW w:w="15134" w:type="dxa"/>
            <w:gridSpan w:val="3"/>
            <w:shd w:val="clear" w:color="auto" w:fill="C2D69B" w:themeFill="accent3" w:themeFillTint="99"/>
          </w:tcPr>
          <w:p w:rsidR="00335287" w:rsidRDefault="00335287" w:rsidP="00A622A1">
            <w:r w:rsidRPr="0052127B">
              <w:t>ORGANISATIONS</w:t>
            </w:r>
          </w:p>
        </w:tc>
      </w:tr>
      <w:tr w:rsidR="00C620FF" w:rsidTr="00804EA0">
        <w:tc>
          <w:tcPr>
            <w:tcW w:w="2802" w:type="dxa"/>
          </w:tcPr>
          <w:p w:rsidR="00C620FF" w:rsidRDefault="00C620FF" w:rsidP="00A622A1">
            <w:r>
              <w:t>NAILSMA</w:t>
            </w:r>
            <w:r w:rsidRPr="00C620FF">
              <w:rPr>
                <w:sz w:val="18"/>
                <w:szCs w:val="18"/>
              </w:rPr>
              <w:t xml:space="preserve"> </w:t>
            </w:r>
            <w:r>
              <w:rPr>
                <w:sz w:val="18"/>
                <w:szCs w:val="18"/>
              </w:rPr>
              <w:t>(</w:t>
            </w:r>
            <w:r w:rsidRPr="00C620FF">
              <w:rPr>
                <w:sz w:val="18"/>
                <w:szCs w:val="18"/>
              </w:rPr>
              <w:t xml:space="preserve">North Australian Indigenous Land </w:t>
            </w:r>
            <w:proofErr w:type="gramStart"/>
            <w:r w:rsidRPr="00C620FF">
              <w:rPr>
                <w:sz w:val="18"/>
                <w:szCs w:val="18"/>
              </w:rPr>
              <w:t>And</w:t>
            </w:r>
            <w:proofErr w:type="gramEnd"/>
            <w:r w:rsidRPr="00C620FF">
              <w:rPr>
                <w:sz w:val="18"/>
                <w:szCs w:val="18"/>
              </w:rPr>
              <w:t xml:space="preserve"> Sea Management Alliance</w:t>
            </w:r>
            <w:r>
              <w:rPr>
                <w:sz w:val="18"/>
                <w:szCs w:val="18"/>
              </w:rPr>
              <w:t>)</w:t>
            </w:r>
          </w:p>
        </w:tc>
        <w:tc>
          <w:tcPr>
            <w:tcW w:w="3543" w:type="dxa"/>
          </w:tcPr>
          <w:p w:rsidR="00C620FF" w:rsidRPr="00C620FF" w:rsidRDefault="00C620FF" w:rsidP="00A622A1">
            <w:r w:rsidRPr="00C620FF">
              <w:t xml:space="preserve">http://www.nailsma.org.au/hub/programs/i-tracker </w:t>
            </w:r>
          </w:p>
        </w:tc>
        <w:tc>
          <w:tcPr>
            <w:tcW w:w="8789" w:type="dxa"/>
          </w:tcPr>
          <w:p w:rsidR="00C620FF" w:rsidRDefault="00C620FF" w:rsidP="00A622A1">
            <w:r>
              <w:t xml:space="preserve">NGO focussed on supporting Indigenous people to build social and economic capacity through culturally appropriate enterprises such as caring for country. </w:t>
            </w:r>
            <w:r w:rsidRPr="000E41FB">
              <w:t xml:space="preserve">More than 25 Indigenous ranger groups in north Australia are now involved in the NAILSMA I-Tracker program. </w:t>
            </w:r>
            <w:r>
              <w:t>These organisations work with BNH agencies, contribute to the body of knowledge, provide local expertise and manpower for operations such as wildfire or controlled burns.</w:t>
            </w:r>
          </w:p>
        </w:tc>
      </w:tr>
      <w:tr w:rsidR="00C620FF" w:rsidTr="00804EA0">
        <w:tc>
          <w:tcPr>
            <w:tcW w:w="2802" w:type="dxa"/>
          </w:tcPr>
          <w:p w:rsidR="007E6CED" w:rsidRDefault="007E6CED" w:rsidP="00A622A1">
            <w:r>
              <w:t xml:space="preserve">BALKANU: CAPE YORK DEVELOPMENT CORPORATION P/L </w:t>
            </w:r>
          </w:p>
          <w:p w:rsidR="00C620FF" w:rsidRPr="007E6CED" w:rsidRDefault="007E6CED" w:rsidP="00A622A1">
            <w:r>
              <w:t xml:space="preserve">Caring </w:t>
            </w:r>
            <w:proofErr w:type="gramStart"/>
            <w:r>
              <w:t>For</w:t>
            </w:r>
            <w:proofErr w:type="gramEnd"/>
            <w:r>
              <w:t xml:space="preserve"> Country Business Unit</w:t>
            </w:r>
            <w:r w:rsidRPr="00A50661">
              <w:t xml:space="preserve"> </w:t>
            </w:r>
          </w:p>
        </w:tc>
        <w:tc>
          <w:tcPr>
            <w:tcW w:w="3543" w:type="dxa"/>
          </w:tcPr>
          <w:p w:rsidR="007E6CED" w:rsidRDefault="007E6CED" w:rsidP="00A622A1">
            <w:r w:rsidRPr="007E6CED">
              <w:t>http://www.balkanu.com.au/</w:t>
            </w:r>
            <w:r w:rsidRPr="00B9347C">
              <w:t xml:space="preserve"> </w:t>
            </w:r>
          </w:p>
          <w:p w:rsidR="00C620FF" w:rsidRPr="007E6CED" w:rsidRDefault="007E6CED" w:rsidP="00A622A1">
            <w:r w:rsidRPr="007E6CED">
              <w:t xml:space="preserve">Further information </w:t>
            </w:r>
            <w:proofErr w:type="gramStart"/>
            <w:r w:rsidRPr="007E6CED">
              <w:t>refer</w:t>
            </w:r>
            <w:proofErr w:type="gramEnd"/>
            <w:r w:rsidRPr="007E6CED">
              <w:t xml:space="preserve"> to: </w:t>
            </w:r>
            <w:r w:rsidRPr="007F2ACA">
              <w:t>http://www.balkanu.com.au/index.php?option=com_content&amp;view=article&amp;id=9&amp;Itemid=27</w:t>
            </w:r>
          </w:p>
        </w:tc>
        <w:tc>
          <w:tcPr>
            <w:tcW w:w="8789" w:type="dxa"/>
          </w:tcPr>
          <w:p w:rsidR="00C620FF" w:rsidRPr="007E6CED" w:rsidRDefault="007E6CED" w:rsidP="00A622A1">
            <w:r>
              <w:t xml:space="preserve">The Caring For Country (CFC) and Traditional Knowledge Revival Pathways (TKRP) units within </w:t>
            </w:r>
            <w:proofErr w:type="spellStart"/>
            <w:proofErr w:type="gramStart"/>
            <w:r>
              <w:t>Balkanu</w:t>
            </w:r>
            <w:proofErr w:type="spellEnd"/>
            <w:r>
              <w:t xml:space="preserve">  focus</w:t>
            </w:r>
            <w:proofErr w:type="gramEnd"/>
            <w:r>
              <w:t xml:space="preserve"> on strengthening</w:t>
            </w:r>
            <w:r w:rsidRPr="00665C8C">
              <w:t xml:space="preserve"> </w:t>
            </w:r>
            <w:r w:rsidRPr="00A50661">
              <w:t>Indig</w:t>
            </w:r>
            <w:r>
              <w:t>e</w:t>
            </w:r>
            <w:r w:rsidRPr="00A50661">
              <w:t xml:space="preserve">nous traditions by supporting enterprise </w:t>
            </w:r>
            <w:r>
              <w:t>development in the Cape York region using traditional knowledge to care for country.</w:t>
            </w:r>
          </w:p>
        </w:tc>
      </w:tr>
      <w:tr w:rsidR="00C620FF" w:rsidTr="00804EA0">
        <w:tc>
          <w:tcPr>
            <w:tcW w:w="2802" w:type="dxa"/>
          </w:tcPr>
          <w:p w:rsidR="00C620FF" w:rsidRPr="007E6CED" w:rsidRDefault="007E6CED" w:rsidP="00A622A1">
            <w:r>
              <w:t>KIMBERLEY LAND COUNCIL (KLC)</w:t>
            </w:r>
          </w:p>
        </w:tc>
        <w:tc>
          <w:tcPr>
            <w:tcW w:w="3543" w:type="dxa"/>
          </w:tcPr>
          <w:p w:rsidR="00166B51" w:rsidRPr="00166B51" w:rsidRDefault="007E6CED" w:rsidP="00A622A1">
            <w:r w:rsidRPr="00166B51">
              <w:t>http://www.klc.org.au/</w:t>
            </w:r>
            <w:r w:rsidR="00166B51" w:rsidRPr="00166B51">
              <w:t xml:space="preserve"> </w:t>
            </w:r>
          </w:p>
          <w:p w:rsidR="00166B51" w:rsidRDefault="00166B51" w:rsidP="00A622A1"/>
          <w:p w:rsidR="00166B51" w:rsidRDefault="00166B51" w:rsidP="00A622A1"/>
          <w:p w:rsidR="00C620FF" w:rsidRPr="00166B51" w:rsidRDefault="00166B51" w:rsidP="00A622A1">
            <w:r w:rsidRPr="00166B51">
              <w:t>http://www.klc.org.au/news-media/video-gallery</w:t>
            </w:r>
          </w:p>
        </w:tc>
        <w:tc>
          <w:tcPr>
            <w:tcW w:w="8789" w:type="dxa"/>
          </w:tcPr>
          <w:p w:rsidR="007E6CED" w:rsidRPr="00041FBA" w:rsidRDefault="007E6CED" w:rsidP="00A622A1">
            <w:pPr>
              <w:rPr>
                <w:rFonts w:eastAsia="Times New Roman" w:cs="Arial"/>
                <w:lang w:eastAsia="en-AU"/>
              </w:rPr>
            </w:pPr>
            <w:r>
              <w:t>North Kimberley Fire Abatement project</w:t>
            </w:r>
            <w:r w:rsidR="000300B5">
              <w:t xml:space="preserve"> (carbon abatement)</w:t>
            </w:r>
            <w:r>
              <w:t>, extending the land management proc</w:t>
            </w:r>
            <w:r w:rsidR="00166B51">
              <w:t xml:space="preserve">ess initiated through WALFA, </w:t>
            </w:r>
            <w:r w:rsidR="000300B5">
              <w:t>extended through</w:t>
            </w:r>
            <w:r>
              <w:t xml:space="preserve"> regional Abatement projects across the Top End. </w:t>
            </w:r>
            <w:r w:rsidRPr="00E3199E">
              <w:t>Key activities include</w:t>
            </w:r>
            <w:r w:rsidR="000300B5">
              <w:t xml:space="preserve"> t</w:t>
            </w:r>
            <w:r w:rsidRPr="00041FBA">
              <w:rPr>
                <w:rFonts w:eastAsia="Times New Roman" w:cs="Arial"/>
                <w:lang w:eastAsia="en-AU"/>
              </w:rPr>
              <w:t>raditional k</w:t>
            </w:r>
            <w:r>
              <w:rPr>
                <w:rFonts w:eastAsia="Times New Roman" w:cs="Arial"/>
                <w:lang w:eastAsia="en-AU"/>
              </w:rPr>
              <w:t>nowledge transfer from old</w:t>
            </w:r>
            <w:r w:rsidRPr="00041FBA">
              <w:rPr>
                <w:rFonts w:eastAsia="Times New Roman" w:cs="Arial"/>
                <w:lang w:eastAsia="en-AU"/>
              </w:rPr>
              <w:t xml:space="preserve"> to young people</w:t>
            </w:r>
            <w:r w:rsidR="000300B5">
              <w:rPr>
                <w:rFonts w:eastAsia="Times New Roman" w:cs="Arial"/>
                <w:lang w:eastAsia="en-AU"/>
              </w:rPr>
              <w:t>, f</w:t>
            </w:r>
            <w:r w:rsidRPr="00041FBA">
              <w:rPr>
                <w:rFonts w:eastAsia="Times New Roman" w:cs="Arial"/>
                <w:lang w:eastAsia="en-AU"/>
              </w:rPr>
              <w:t>ire management</w:t>
            </w:r>
            <w:r w:rsidR="000300B5">
              <w:rPr>
                <w:rFonts w:eastAsia="Times New Roman" w:cs="Arial"/>
                <w:lang w:eastAsia="en-AU"/>
              </w:rPr>
              <w:t>, c</w:t>
            </w:r>
            <w:r w:rsidRPr="00041FBA">
              <w:rPr>
                <w:rFonts w:eastAsia="Times New Roman" w:cs="Arial"/>
                <w:lang w:eastAsia="en-AU"/>
              </w:rPr>
              <w:t>ultural and environmental services</w:t>
            </w:r>
            <w:r w:rsidR="000300B5">
              <w:rPr>
                <w:rFonts w:eastAsia="Times New Roman" w:cs="Arial"/>
                <w:lang w:eastAsia="en-AU"/>
              </w:rPr>
              <w:t>, b</w:t>
            </w:r>
            <w:r w:rsidRPr="00041FBA">
              <w:rPr>
                <w:rFonts w:eastAsia="Times New Roman" w:cs="Arial"/>
                <w:lang w:eastAsia="en-AU"/>
              </w:rPr>
              <w:t>iodiversity</w:t>
            </w:r>
            <w:r w:rsidR="000300B5">
              <w:rPr>
                <w:rFonts w:eastAsia="Times New Roman" w:cs="Arial"/>
                <w:lang w:eastAsia="en-AU"/>
              </w:rPr>
              <w:t>, c</w:t>
            </w:r>
            <w:r>
              <w:rPr>
                <w:rFonts w:eastAsia="Times New Roman" w:cs="Arial"/>
                <w:lang w:eastAsia="en-AU"/>
              </w:rPr>
              <w:t>u</w:t>
            </w:r>
            <w:r w:rsidRPr="00041FBA">
              <w:rPr>
                <w:rFonts w:eastAsia="Times New Roman" w:cs="Arial"/>
                <w:lang w:eastAsia="en-AU"/>
              </w:rPr>
              <w:t>ltural enterprise development</w:t>
            </w:r>
          </w:p>
          <w:p w:rsidR="00C620FF" w:rsidRPr="00166B51" w:rsidRDefault="00166B51" w:rsidP="00A622A1">
            <w:r w:rsidRPr="00166B51">
              <w:t>Videos on BNH initiatives</w:t>
            </w:r>
          </w:p>
        </w:tc>
      </w:tr>
      <w:tr w:rsidR="00C620FF" w:rsidTr="00804EA0">
        <w:tc>
          <w:tcPr>
            <w:tcW w:w="2802" w:type="dxa"/>
          </w:tcPr>
          <w:p w:rsidR="000300B5" w:rsidRDefault="000300B5" w:rsidP="00A622A1">
            <w:r>
              <w:t>BUREAU OF METEOROLOGY (BoM)</w:t>
            </w:r>
            <w:r w:rsidRPr="00F94D5F">
              <w:t xml:space="preserve"> </w:t>
            </w:r>
          </w:p>
          <w:p w:rsidR="00C620FF" w:rsidRDefault="00C620FF" w:rsidP="00A622A1"/>
        </w:tc>
        <w:tc>
          <w:tcPr>
            <w:tcW w:w="3543" w:type="dxa"/>
          </w:tcPr>
          <w:p w:rsidR="00166B51" w:rsidRPr="00166B51" w:rsidRDefault="00747C3C" w:rsidP="00A622A1">
            <w:r w:rsidRPr="00166B51">
              <w:t>http://www.bom.gov.au/nt/</w:t>
            </w:r>
          </w:p>
          <w:p w:rsidR="00166B51" w:rsidRPr="00747C3C" w:rsidRDefault="00166B51" w:rsidP="00A622A1">
            <w:r w:rsidRPr="00166B51">
              <w:t>http://www.bom.gov.au/weather-services/bushfire/index.shtml</w:t>
            </w:r>
          </w:p>
        </w:tc>
        <w:tc>
          <w:tcPr>
            <w:tcW w:w="8789" w:type="dxa"/>
          </w:tcPr>
          <w:p w:rsidR="00C620FF" w:rsidRDefault="00747C3C" w:rsidP="00A622A1">
            <w:r>
              <w:t xml:space="preserve">Up-to-date information about weather across Australia, including warning for the range of weather events that might impact on communities. </w:t>
            </w:r>
          </w:p>
          <w:p w:rsidR="00166B51" w:rsidRDefault="00166B51" w:rsidP="00A622A1">
            <w:r>
              <w:t xml:space="preserve">Detailed information on climate </w:t>
            </w:r>
            <w:proofErr w:type="gramStart"/>
            <w:r>
              <w:t>an</w:t>
            </w:r>
            <w:proofErr w:type="gramEnd"/>
            <w:r>
              <w:t xml:space="preserve"> weather matters related to fire.</w:t>
            </w:r>
          </w:p>
        </w:tc>
      </w:tr>
      <w:tr w:rsidR="00C620FF" w:rsidTr="00804EA0">
        <w:tc>
          <w:tcPr>
            <w:tcW w:w="2802" w:type="dxa"/>
          </w:tcPr>
          <w:p w:rsidR="00C620FF" w:rsidRPr="00EB01F1" w:rsidRDefault="00EB01F1" w:rsidP="00A622A1">
            <w:pPr>
              <w:rPr>
                <w:sz w:val="18"/>
                <w:szCs w:val="18"/>
              </w:rPr>
            </w:pPr>
            <w:r w:rsidRPr="00EB01F1">
              <w:t xml:space="preserve">NAFI </w:t>
            </w:r>
            <w:r w:rsidRPr="00EB01F1">
              <w:rPr>
                <w:sz w:val="18"/>
                <w:szCs w:val="18"/>
              </w:rPr>
              <w:t>(North Australian Fire Information)</w:t>
            </w:r>
          </w:p>
        </w:tc>
        <w:tc>
          <w:tcPr>
            <w:tcW w:w="3543" w:type="dxa"/>
          </w:tcPr>
          <w:p w:rsidR="00C620FF" w:rsidRDefault="00FA00C4" w:rsidP="00A622A1">
            <w:r w:rsidRPr="00FA00C4">
              <w:t>http://www.firenorth.org.au/nafi3/</w:t>
            </w:r>
          </w:p>
        </w:tc>
        <w:tc>
          <w:tcPr>
            <w:tcW w:w="8789" w:type="dxa"/>
          </w:tcPr>
          <w:p w:rsidR="00C620FF" w:rsidRDefault="00862D60" w:rsidP="00A622A1">
            <w:r>
              <w:t>Regularly updated satellite information</w:t>
            </w:r>
            <w:r w:rsidR="00B00698">
              <w:t xml:space="preserve"> verified by on-ground observations, providing information, tools and a repository for use by public to assist anyone needing fire information and mapping technology for tropical and rangelands environments in Australia.  </w:t>
            </w:r>
          </w:p>
        </w:tc>
      </w:tr>
    </w:tbl>
    <w:p w:rsidR="000B61B4" w:rsidRDefault="000B61B4">
      <w:r>
        <w:br w:type="page"/>
      </w:r>
    </w:p>
    <w:tbl>
      <w:tblPr>
        <w:tblStyle w:val="TableGrid"/>
        <w:tblW w:w="0" w:type="auto"/>
        <w:tblLayout w:type="fixed"/>
        <w:tblLook w:val="04A0" w:firstRow="1" w:lastRow="0" w:firstColumn="1" w:lastColumn="0" w:noHBand="0" w:noVBand="1"/>
      </w:tblPr>
      <w:tblGrid>
        <w:gridCol w:w="2802"/>
        <w:gridCol w:w="3543"/>
        <w:gridCol w:w="8789"/>
      </w:tblGrid>
      <w:tr w:rsidR="00C620FF" w:rsidTr="00804EA0">
        <w:tc>
          <w:tcPr>
            <w:tcW w:w="2802" w:type="dxa"/>
            <w:shd w:val="clear" w:color="auto" w:fill="C2D69B" w:themeFill="accent3" w:themeFillTint="99"/>
          </w:tcPr>
          <w:p w:rsidR="00C620FF" w:rsidRPr="00335287" w:rsidRDefault="00335287" w:rsidP="00F67DF1">
            <w:pPr>
              <w:pStyle w:val="NormalWeb"/>
              <w:spacing w:before="120" w:beforeAutospacing="0" w:after="120" w:afterAutospacing="0"/>
              <w:rPr>
                <w:rFonts w:asciiTheme="minorHAnsi" w:hAnsiTheme="minorHAnsi"/>
                <w:b/>
                <w:sz w:val="22"/>
                <w:szCs w:val="22"/>
              </w:rPr>
            </w:pPr>
            <w:r w:rsidRPr="0052127B">
              <w:rPr>
                <w:rFonts w:asciiTheme="minorHAnsi" w:hAnsiTheme="minorHAnsi"/>
                <w:b/>
                <w:sz w:val="22"/>
                <w:szCs w:val="22"/>
              </w:rPr>
              <w:lastRenderedPageBreak/>
              <w:t>ON-LINE RESOURCES</w:t>
            </w:r>
          </w:p>
        </w:tc>
        <w:tc>
          <w:tcPr>
            <w:tcW w:w="3543" w:type="dxa"/>
            <w:shd w:val="clear" w:color="auto" w:fill="C2D69B" w:themeFill="accent3" w:themeFillTint="99"/>
          </w:tcPr>
          <w:p w:rsidR="00C620FF" w:rsidRDefault="00C620FF" w:rsidP="00F67DF1">
            <w:pPr>
              <w:pStyle w:val="NormalWeb"/>
              <w:spacing w:before="120" w:beforeAutospacing="0" w:after="120" w:afterAutospacing="0"/>
              <w:rPr>
                <w:rFonts w:asciiTheme="minorHAnsi" w:hAnsiTheme="minorHAnsi"/>
                <w:sz w:val="22"/>
                <w:szCs w:val="22"/>
              </w:rPr>
            </w:pPr>
          </w:p>
        </w:tc>
        <w:tc>
          <w:tcPr>
            <w:tcW w:w="8789" w:type="dxa"/>
            <w:shd w:val="clear" w:color="auto" w:fill="C2D69B" w:themeFill="accent3" w:themeFillTint="99"/>
          </w:tcPr>
          <w:p w:rsidR="00C620FF" w:rsidRDefault="00C620FF" w:rsidP="00F67DF1">
            <w:pPr>
              <w:pStyle w:val="NormalWeb"/>
              <w:spacing w:before="120" w:beforeAutospacing="0" w:after="120" w:afterAutospacing="0"/>
              <w:rPr>
                <w:rFonts w:asciiTheme="minorHAnsi" w:hAnsiTheme="minorHAnsi"/>
                <w:sz w:val="22"/>
                <w:szCs w:val="22"/>
              </w:rPr>
            </w:pPr>
          </w:p>
        </w:tc>
      </w:tr>
      <w:tr w:rsidR="00C620FF" w:rsidRPr="00FA00C4" w:rsidTr="00804EA0">
        <w:tc>
          <w:tcPr>
            <w:tcW w:w="2802" w:type="dxa"/>
          </w:tcPr>
          <w:p w:rsidR="00C620FF" w:rsidRPr="00FA00C4" w:rsidRDefault="00FA00C4" w:rsidP="00F67DF1">
            <w:pPr>
              <w:pStyle w:val="NormalWeb"/>
              <w:spacing w:before="120" w:beforeAutospacing="0" w:after="120" w:afterAutospacing="0"/>
              <w:rPr>
                <w:rFonts w:asciiTheme="minorHAnsi" w:hAnsiTheme="minorHAnsi"/>
                <w:sz w:val="22"/>
                <w:szCs w:val="22"/>
              </w:rPr>
            </w:pPr>
            <w:proofErr w:type="spellStart"/>
            <w:r w:rsidRPr="00FA00C4">
              <w:rPr>
                <w:rFonts w:asciiTheme="minorHAnsi" w:hAnsiTheme="minorHAnsi"/>
                <w:b/>
                <w:bCs/>
                <w:sz w:val="22"/>
                <w:szCs w:val="22"/>
              </w:rPr>
              <w:t>Cybertracker</w:t>
            </w:r>
            <w:proofErr w:type="spellEnd"/>
          </w:p>
        </w:tc>
        <w:tc>
          <w:tcPr>
            <w:tcW w:w="3543" w:type="dxa"/>
          </w:tcPr>
          <w:p w:rsidR="00C620FF" w:rsidRPr="00FA00C4" w:rsidRDefault="00FA00C4" w:rsidP="00A622A1">
            <w:r w:rsidRPr="00FA00C4">
              <w:t>http://www.cybertracker.org/</w:t>
            </w:r>
          </w:p>
        </w:tc>
        <w:tc>
          <w:tcPr>
            <w:tcW w:w="8789" w:type="dxa"/>
          </w:tcPr>
          <w:p w:rsidR="00C620FF" w:rsidRPr="00FA00C4" w:rsidRDefault="00FA00C4" w:rsidP="00A622A1">
            <w:pPr>
              <w:rPr>
                <w:rFonts w:eastAsia="Times New Roman" w:cs="Times New Roman"/>
                <w:b/>
                <w:lang w:eastAsia="en-AU"/>
              </w:rPr>
            </w:pPr>
            <w:r w:rsidRPr="00A622A1">
              <w:t>E</w:t>
            </w:r>
            <w:r w:rsidRPr="00FA00C4">
              <w:t>nvironmental management program developed by Apple Mac. Data collected u</w:t>
            </w:r>
            <w:r w:rsidR="0059531B">
              <w:t xml:space="preserve">sing applications adapted from </w:t>
            </w:r>
            <w:proofErr w:type="spellStart"/>
            <w:r w:rsidR="0059531B">
              <w:t>Cybertracker</w:t>
            </w:r>
            <w:proofErr w:type="spellEnd"/>
            <w:r w:rsidR="0059531B">
              <w:t xml:space="preserve"> </w:t>
            </w:r>
            <w:r w:rsidRPr="00FA00C4">
              <w:t xml:space="preserve">are used in Virtual Earth which is a product of the same company. </w:t>
            </w:r>
          </w:p>
        </w:tc>
      </w:tr>
      <w:tr w:rsidR="00FA00C4" w:rsidRPr="00FA00C4" w:rsidTr="00804EA0">
        <w:tc>
          <w:tcPr>
            <w:tcW w:w="2802" w:type="dxa"/>
          </w:tcPr>
          <w:p w:rsidR="00FA00C4" w:rsidRPr="00FA00C4" w:rsidRDefault="00FA00C4" w:rsidP="00F67DF1">
            <w:pPr>
              <w:pStyle w:val="NormalWeb"/>
              <w:spacing w:before="120" w:beforeAutospacing="0" w:after="120" w:afterAutospacing="0"/>
              <w:rPr>
                <w:rFonts w:asciiTheme="minorHAnsi" w:hAnsiTheme="minorHAnsi"/>
                <w:b/>
                <w:bCs/>
                <w:sz w:val="22"/>
                <w:szCs w:val="22"/>
              </w:rPr>
            </w:pPr>
            <w:r w:rsidRPr="00FA00C4">
              <w:rPr>
                <w:rFonts w:asciiTheme="minorHAnsi" w:hAnsiTheme="minorHAnsi"/>
                <w:b/>
                <w:sz w:val="22"/>
                <w:szCs w:val="22"/>
              </w:rPr>
              <w:t>I Tracker</w:t>
            </w:r>
            <w:r w:rsidRPr="00FA00C4">
              <w:rPr>
                <w:rFonts w:asciiTheme="minorHAnsi" w:hAnsiTheme="minorHAnsi"/>
                <w:b/>
                <w:sz w:val="22"/>
                <w:szCs w:val="22"/>
              </w:rPr>
              <w:tab/>
            </w:r>
          </w:p>
        </w:tc>
        <w:tc>
          <w:tcPr>
            <w:tcW w:w="3543" w:type="dxa"/>
          </w:tcPr>
          <w:p w:rsidR="00FA00C4" w:rsidRPr="00FA00C4" w:rsidRDefault="00FA00C4" w:rsidP="00FA00C4">
            <w:pPr>
              <w:spacing w:after="120"/>
              <w:ind w:left="33"/>
            </w:pPr>
            <w:r w:rsidRPr="00FA00C4">
              <w:t>http://www.nailsma.org.au/hub/programs/i-tracker</w:t>
            </w:r>
          </w:p>
          <w:p w:rsidR="00FA00C4" w:rsidRDefault="00FA00C4" w:rsidP="00FA00C4">
            <w:pPr>
              <w:pStyle w:val="NormalWeb"/>
              <w:spacing w:before="240" w:beforeAutospacing="0" w:after="120" w:afterAutospacing="0"/>
              <w:ind w:left="33"/>
              <w:rPr>
                <w:rFonts w:asciiTheme="minorHAnsi" w:hAnsiTheme="minorHAnsi"/>
                <w:b/>
                <w:sz w:val="22"/>
                <w:szCs w:val="22"/>
              </w:rPr>
            </w:pPr>
            <w:r w:rsidRPr="00835116">
              <w:rPr>
                <w:rFonts w:asciiTheme="minorHAnsi" w:hAnsiTheme="minorHAnsi"/>
                <w:b/>
                <w:sz w:val="22"/>
                <w:szCs w:val="22"/>
              </w:rPr>
              <w:t xml:space="preserve">Available in PDF on-line: </w:t>
            </w:r>
          </w:p>
          <w:p w:rsidR="00FA00C4" w:rsidRPr="00FA00C4" w:rsidRDefault="00FA00C4" w:rsidP="00FA00C4">
            <w:pPr>
              <w:pStyle w:val="NormalWeb"/>
              <w:spacing w:before="240" w:beforeAutospacing="0" w:after="120" w:afterAutospacing="0"/>
              <w:ind w:left="33"/>
              <w:rPr>
                <w:rFonts w:asciiTheme="minorHAnsi" w:hAnsiTheme="minorHAnsi"/>
                <w:sz w:val="22"/>
                <w:szCs w:val="22"/>
              </w:rPr>
            </w:pPr>
            <w:r w:rsidRPr="00FA00C4">
              <w:rPr>
                <w:rFonts w:asciiTheme="minorHAnsi" w:hAnsiTheme="minorHAnsi"/>
                <w:sz w:val="22"/>
                <w:szCs w:val="22"/>
              </w:rPr>
              <w:t>http://www.landmanager.org.au/sites/default/files/downloads/CyberTracker%20Instruction%20manual%20for%20CT%20web_0.pdf</w:t>
            </w:r>
          </w:p>
          <w:p w:rsidR="00FA00C4" w:rsidRPr="00FA00C4" w:rsidRDefault="00FA00C4" w:rsidP="00F67DF1">
            <w:pPr>
              <w:pStyle w:val="NormalWeb"/>
              <w:spacing w:before="120" w:beforeAutospacing="0" w:after="120" w:afterAutospacing="0"/>
              <w:rPr>
                <w:rFonts w:asciiTheme="minorHAnsi" w:hAnsiTheme="minorHAnsi"/>
                <w:bCs/>
                <w:sz w:val="22"/>
                <w:szCs w:val="22"/>
              </w:rPr>
            </w:pPr>
          </w:p>
        </w:tc>
        <w:tc>
          <w:tcPr>
            <w:tcW w:w="8789" w:type="dxa"/>
          </w:tcPr>
          <w:p w:rsidR="00FA00C4" w:rsidRDefault="00FA00C4" w:rsidP="00FA00C4">
            <w:pPr>
              <w:spacing w:before="200"/>
              <w:ind w:left="33"/>
            </w:pPr>
            <w:r>
              <w:t xml:space="preserve">A local version of </w:t>
            </w:r>
            <w:proofErr w:type="spellStart"/>
            <w:r>
              <w:t>Cybertracker</w:t>
            </w:r>
            <w:proofErr w:type="spellEnd"/>
            <w:r>
              <w:t xml:space="preserve"> developed by NAILSMA</w:t>
            </w:r>
          </w:p>
          <w:p w:rsidR="00FA00C4" w:rsidRPr="00335287" w:rsidRDefault="00FA00C4" w:rsidP="00FA00C4">
            <w:pPr>
              <w:spacing w:before="200"/>
              <w:ind w:left="33"/>
              <w:rPr>
                <w:rFonts w:cs="TimesNewRomanPSMT"/>
                <w:b/>
              </w:rPr>
            </w:pPr>
            <w:r w:rsidRPr="00335287">
              <w:rPr>
                <w:rFonts w:cs="TimesNewRomanPSMT"/>
                <w:b/>
              </w:rPr>
              <w:t xml:space="preserve"> I Tracker </w:t>
            </w:r>
            <w:proofErr w:type="gramStart"/>
            <w:r w:rsidRPr="00335287">
              <w:rPr>
                <w:rFonts w:cs="TimesNewRomanPSMT"/>
                <w:b/>
              </w:rPr>
              <w:t>For</w:t>
            </w:r>
            <w:proofErr w:type="gramEnd"/>
            <w:r w:rsidRPr="00335287">
              <w:rPr>
                <w:rFonts w:cs="TimesNewRomanPSMT"/>
                <w:b/>
              </w:rPr>
              <w:t xml:space="preserve"> Women</w:t>
            </w:r>
          </w:p>
          <w:p w:rsidR="00FA00C4" w:rsidRPr="00335287" w:rsidRDefault="00FA00C4" w:rsidP="00FA00C4">
            <w:pPr>
              <w:autoSpaceDE w:val="0"/>
              <w:autoSpaceDN w:val="0"/>
              <w:adjustRightInd w:val="0"/>
              <w:spacing w:before="120" w:after="120"/>
              <w:ind w:left="33"/>
              <w:rPr>
                <w:rFonts w:cs="TimesNewRomanPSMT"/>
                <w:b/>
              </w:rPr>
            </w:pPr>
            <w:r w:rsidRPr="00335287">
              <w:rPr>
                <w:rFonts w:cs="TimesNewRomanPSMT"/>
                <w:b/>
              </w:rPr>
              <w:t xml:space="preserve">Manual: </w:t>
            </w:r>
            <w:r w:rsidRPr="00335287">
              <w:rPr>
                <w:rFonts w:cs="TimesNewRomanPSMT"/>
                <w:b/>
              </w:rPr>
              <w:tab/>
            </w:r>
            <w:r w:rsidRPr="00335287">
              <w:rPr>
                <w:rFonts w:cs="TimesNewRomanPSMT"/>
                <w:b/>
                <w:i/>
              </w:rPr>
              <w:t xml:space="preserve">How </w:t>
            </w:r>
            <w:proofErr w:type="gramStart"/>
            <w:r w:rsidRPr="00335287">
              <w:rPr>
                <w:rFonts w:cs="TimesNewRomanPSMT"/>
                <w:b/>
                <w:i/>
              </w:rPr>
              <w:t>To</w:t>
            </w:r>
            <w:proofErr w:type="gramEnd"/>
            <w:r w:rsidRPr="00335287">
              <w:rPr>
                <w:rFonts w:cs="TimesNewRomanPSMT"/>
                <w:b/>
                <w:i/>
              </w:rPr>
              <w:t xml:space="preserve"> Make And Use A Women's Land Use </w:t>
            </w:r>
            <w:proofErr w:type="spellStart"/>
            <w:r w:rsidRPr="00335287">
              <w:rPr>
                <w:rFonts w:cs="TimesNewRomanPSMT"/>
                <w:b/>
                <w:i/>
              </w:rPr>
              <w:t>Cybertracker</w:t>
            </w:r>
            <w:proofErr w:type="spellEnd"/>
            <w:r w:rsidRPr="00335287">
              <w:rPr>
                <w:rFonts w:cs="TimesNewRomanPSMT"/>
                <w:b/>
                <w:i/>
              </w:rPr>
              <w:t xml:space="preserve"> Sequence </w:t>
            </w:r>
            <w:r w:rsidRPr="00335287">
              <w:rPr>
                <w:rFonts w:cs="TimesNewRomanPSMT"/>
                <w:b/>
              </w:rPr>
              <w:t xml:space="preserve"> </w:t>
            </w:r>
          </w:p>
          <w:p w:rsidR="00FA00C4" w:rsidRPr="00FA00C4" w:rsidRDefault="00FA00C4" w:rsidP="00FA00C4">
            <w:pPr>
              <w:autoSpaceDE w:val="0"/>
              <w:autoSpaceDN w:val="0"/>
              <w:adjustRightInd w:val="0"/>
              <w:spacing w:before="120" w:after="120"/>
              <w:ind w:left="33"/>
              <w:rPr>
                <w:rFonts w:cs="TimesNewRomanPSMT"/>
              </w:rPr>
            </w:pPr>
            <w:r w:rsidRPr="00335287">
              <w:rPr>
                <w:rFonts w:cs="TimesNewRomanPSMT"/>
              </w:rPr>
              <w:t>By</w:t>
            </w:r>
            <w:r w:rsidRPr="00335287">
              <w:rPr>
                <w:rFonts w:cs="TimesNewRomanPSMT"/>
                <w:i/>
              </w:rPr>
              <w:t xml:space="preserve"> </w:t>
            </w:r>
            <w:proofErr w:type="spellStart"/>
            <w:r w:rsidRPr="00335287">
              <w:rPr>
                <w:rFonts w:cs="TimesNewRomanPSMT"/>
              </w:rPr>
              <w:t>Ens</w:t>
            </w:r>
            <w:proofErr w:type="spellEnd"/>
            <w:r w:rsidRPr="00335287">
              <w:rPr>
                <w:rFonts w:cs="TimesNewRomanPSMT"/>
              </w:rPr>
              <w:t xml:space="preserve">, E. and the female </w:t>
            </w:r>
            <w:proofErr w:type="spellStart"/>
            <w:r w:rsidRPr="00335287">
              <w:rPr>
                <w:rFonts w:cs="TimesNewRomanPSMT"/>
              </w:rPr>
              <w:t>Manwarrk</w:t>
            </w:r>
            <w:proofErr w:type="spellEnd"/>
            <w:r w:rsidRPr="00335287">
              <w:rPr>
                <w:rFonts w:cs="TimesNewRomanPSMT"/>
              </w:rPr>
              <w:t xml:space="preserve"> Rangers (</w:t>
            </w:r>
            <w:proofErr w:type="spellStart"/>
            <w:r w:rsidRPr="00335287">
              <w:rPr>
                <w:rFonts w:cs="TimesNewRomanPSMT"/>
              </w:rPr>
              <w:t>Seraine</w:t>
            </w:r>
            <w:proofErr w:type="spellEnd"/>
            <w:r w:rsidRPr="00335287">
              <w:rPr>
                <w:rFonts w:cs="TimesNewRomanPSMT"/>
              </w:rPr>
              <w:t xml:space="preserve"> </w:t>
            </w:r>
            <w:proofErr w:type="spellStart"/>
            <w:r w:rsidRPr="00335287">
              <w:rPr>
                <w:rFonts w:cs="TimesNewRomanPSMT"/>
              </w:rPr>
              <w:t>Namundja</w:t>
            </w:r>
            <w:proofErr w:type="spellEnd"/>
            <w:r w:rsidRPr="00335287">
              <w:rPr>
                <w:rFonts w:cs="TimesNewRomanPSMT"/>
              </w:rPr>
              <w:t xml:space="preserve">, Barbara </w:t>
            </w:r>
            <w:proofErr w:type="spellStart"/>
            <w:r w:rsidRPr="00335287">
              <w:rPr>
                <w:rFonts w:cs="TimesNewRomanPSMT"/>
              </w:rPr>
              <w:t>Gurwalwal</w:t>
            </w:r>
            <w:proofErr w:type="spellEnd"/>
            <w:r w:rsidRPr="00335287">
              <w:rPr>
                <w:rFonts w:cs="TimesNewRomanPSMT"/>
              </w:rPr>
              <w:t xml:space="preserve">, Carol </w:t>
            </w:r>
            <w:proofErr w:type="spellStart"/>
            <w:r w:rsidRPr="00335287">
              <w:rPr>
                <w:rFonts w:cs="TimesNewRomanPSMT"/>
              </w:rPr>
              <w:t>Pamkal</w:t>
            </w:r>
            <w:proofErr w:type="spellEnd"/>
            <w:r w:rsidRPr="00335287">
              <w:rPr>
                <w:rFonts w:cs="TimesNewRomanPSMT"/>
              </w:rPr>
              <w:t xml:space="preserve">, Jenny, </w:t>
            </w:r>
            <w:proofErr w:type="spellStart"/>
            <w:r w:rsidRPr="00335287">
              <w:rPr>
                <w:rFonts w:cs="TimesNewRomanPSMT"/>
              </w:rPr>
              <w:t>Nadjamerrek</w:t>
            </w:r>
            <w:proofErr w:type="spellEnd"/>
            <w:r w:rsidRPr="00335287">
              <w:rPr>
                <w:rFonts w:cs="TimesNewRomanPSMT"/>
              </w:rPr>
              <w:t xml:space="preserve"> and Georgia Vallance) for the Indigenous Women’s Land and Sea Management Forum, 1-3 June 2010, Ross River, Northern Territory, Australia. Centre for Aboriginal Economic Policy Research, ANU.</w:t>
            </w:r>
          </w:p>
        </w:tc>
      </w:tr>
      <w:tr w:rsidR="00FA00C4" w:rsidRPr="00FA00C4" w:rsidTr="00804EA0">
        <w:tc>
          <w:tcPr>
            <w:tcW w:w="2802" w:type="dxa"/>
          </w:tcPr>
          <w:p w:rsidR="00FA00C4" w:rsidRPr="00FA00C4" w:rsidRDefault="00FA00C4" w:rsidP="00F67DF1">
            <w:pPr>
              <w:pStyle w:val="NormalWeb"/>
              <w:spacing w:before="120" w:beforeAutospacing="0" w:after="120" w:afterAutospacing="0"/>
              <w:rPr>
                <w:rFonts w:asciiTheme="minorHAnsi" w:hAnsiTheme="minorHAnsi"/>
                <w:b/>
                <w:sz w:val="22"/>
                <w:szCs w:val="22"/>
              </w:rPr>
            </w:pPr>
            <w:r w:rsidRPr="00FA00C4">
              <w:rPr>
                <w:rFonts w:asciiTheme="minorHAnsi" w:hAnsiTheme="minorHAnsi"/>
                <w:b/>
                <w:sz w:val="22"/>
                <w:szCs w:val="22"/>
              </w:rPr>
              <w:t>QGIS 2.10 Pisa</w:t>
            </w:r>
          </w:p>
        </w:tc>
        <w:tc>
          <w:tcPr>
            <w:tcW w:w="3543" w:type="dxa"/>
          </w:tcPr>
          <w:p w:rsidR="00FA00C4" w:rsidRPr="00FA00C4" w:rsidRDefault="00FA00C4" w:rsidP="00FA00C4">
            <w:pPr>
              <w:spacing w:after="120"/>
              <w:ind w:left="33"/>
            </w:pPr>
            <w:r w:rsidRPr="00FA00C4">
              <w:t>http://www.qgis.org</w:t>
            </w:r>
          </w:p>
        </w:tc>
        <w:tc>
          <w:tcPr>
            <w:tcW w:w="8789" w:type="dxa"/>
          </w:tcPr>
          <w:p w:rsidR="00FA00C4" w:rsidRDefault="00FA00C4" w:rsidP="00FA00C4">
            <w:pPr>
              <w:spacing w:before="200"/>
              <w:ind w:left="33"/>
            </w:pPr>
          </w:p>
        </w:tc>
      </w:tr>
      <w:tr w:rsidR="00FA00C4" w:rsidRPr="00FC0520" w:rsidTr="00804EA0">
        <w:tc>
          <w:tcPr>
            <w:tcW w:w="2802" w:type="dxa"/>
          </w:tcPr>
          <w:p w:rsidR="00FA00C4" w:rsidRPr="00FC0520" w:rsidRDefault="00FA00C4" w:rsidP="00F67DF1">
            <w:pPr>
              <w:pStyle w:val="NormalWeb"/>
              <w:spacing w:before="120" w:beforeAutospacing="0" w:after="120" w:afterAutospacing="0"/>
              <w:rPr>
                <w:rFonts w:asciiTheme="minorHAnsi" w:hAnsiTheme="minorHAnsi"/>
                <w:b/>
                <w:sz w:val="22"/>
                <w:szCs w:val="22"/>
              </w:rPr>
            </w:pPr>
            <w:r w:rsidRPr="00FC0520">
              <w:rPr>
                <w:rFonts w:asciiTheme="minorHAnsi" w:hAnsiTheme="minorHAnsi"/>
                <w:b/>
                <w:sz w:val="22"/>
                <w:szCs w:val="22"/>
              </w:rPr>
              <w:t>Fire Manager</w:t>
            </w:r>
          </w:p>
        </w:tc>
        <w:tc>
          <w:tcPr>
            <w:tcW w:w="3543" w:type="dxa"/>
          </w:tcPr>
          <w:p w:rsidR="00FA00C4" w:rsidRPr="00FC0520" w:rsidRDefault="00FA00C4" w:rsidP="00FA00C4">
            <w:pPr>
              <w:spacing w:after="120"/>
              <w:ind w:left="33"/>
            </w:pPr>
            <w:r w:rsidRPr="00FC0520">
              <w:t>http://www.firemanager.org.au/</w:t>
            </w:r>
          </w:p>
        </w:tc>
        <w:tc>
          <w:tcPr>
            <w:tcW w:w="8789" w:type="dxa"/>
          </w:tcPr>
          <w:p w:rsidR="00FA00C4" w:rsidRPr="00FC0520" w:rsidRDefault="00FA00C4" w:rsidP="00FA00C4">
            <w:pPr>
              <w:spacing w:before="120" w:after="120"/>
              <w:ind w:left="33" w:right="-46"/>
            </w:pPr>
            <w:r w:rsidRPr="00FC0520">
              <w:t>Northern Fire Manager contains over 3,000 resources ranging from project case studies and organisation profiles to individual fire responses for a range of plant species.</w:t>
            </w:r>
          </w:p>
        </w:tc>
      </w:tr>
      <w:tr w:rsidR="00FC0520" w:rsidRPr="00FC0520" w:rsidTr="00804EA0">
        <w:tc>
          <w:tcPr>
            <w:tcW w:w="2802" w:type="dxa"/>
          </w:tcPr>
          <w:p w:rsidR="00FC0520" w:rsidRPr="00FC0520" w:rsidRDefault="00FC0520" w:rsidP="00F67DF1">
            <w:pPr>
              <w:pStyle w:val="NormalWeb"/>
              <w:spacing w:before="120" w:beforeAutospacing="0" w:after="120" w:afterAutospacing="0"/>
              <w:rPr>
                <w:rFonts w:asciiTheme="minorHAnsi" w:hAnsiTheme="minorHAnsi"/>
                <w:b/>
                <w:sz w:val="22"/>
                <w:szCs w:val="22"/>
              </w:rPr>
            </w:pPr>
          </w:p>
        </w:tc>
        <w:tc>
          <w:tcPr>
            <w:tcW w:w="3543" w:type="dxa"/>
          </w:tcPr>
          <w:p w:rsidR="00FC0520" w:rsidRPr="00FC0520" w:rsidRDefault="00FC0520" w:rsidP="00FA00C4">
            <w:pPr>
              <w:spacing w:after="120"/>
              <w:ind w:left="33"/>
            </w:pPr>
          </w:p>
        </w:tc>
        <w:tc>
          <w:tcPr>
            <w:tcW w:w="8789" w:type="dxa"/>
          </w:tcPr>
          <w:p w:rsidR="00FC0520" w:rsidRPr="00FC0520" w:rsidRDefault="00FC0520" w:rsidP="00FA00C4">
            <w:pPr>
              <w:spacing w:before="120" w:after="120"/>
              <w:ind w:left="33" w:right="-46"/>
            </w:pPr>
          </w:p>
        </w:tc>
      </w:tr>
      <w:tr w:rsidR="00FC0520" w:rsidRPr="00FC0520" w:rsidTr="004E7B32">
        <w:tc>
          <w:tcPr>
            <w:tcW w:w="15134" w:type="dxa"/>
            <w:gridSpan w:val="3"/>
            <w:shd w:val="clear" w:color="auto" w:fill="C2D69B" w:themeFill="accent3" w:themeFillTint="99"/>
          </w:tcPr>
          <w:p w:rsidR="00FC0520" w:rsidRPr="00B43805" w:rsidRDefault="00FC0520" w:rsidP="00B43805">
            <w:pPr>
              <w:pStyle w:val="NormalWeb"/>
              <w:spacing w:before="240" w:beforeAutospacing="0" w:after="120" w:afterAutospacing="0"/>
              <w:ind w:left="360"/>
              <w:rPr>
                <w:rFonts w:asciiTheme="minorHAnsi" w:hAnsiTheme="minorHAnsi"/>
                <w:b/>
                <w:sz w:val="22"/>
                <w:szCs w:val="22"/>
              </w:rPr>
            </w:pPr>
            <w:r>
              <w:rPr>
                <w:rFonts w:asciiTheme="minorHAnsi" w:hAnsiTheme="minorHAnsi"/>
                <w:b/>
                <w:sz w:val="22"/>
                <w:szCs w:val="22"/>
              </w:rPr>
              <w:t>OTHER RESOURCES</w:t>
            </w:r>
          </w:p>
        </w:tc>
      </w:tr>
      <w:tr w:rsidR="00B43805" w:rsidRPr="00FC0520" w:rsidTr="00FC150F">
        <w:tc>
          <w:tcPr>
            <w:tcW w:w="15134" w:type="dxa"/>
            <w:gridSpan w:val="3"/>
          </w:tcPr>
          <w:p w:rsidR="00B43805" w:rsidRPr="00B43805" w:rsidRDefault="00B43805" w:rsidP="00B43805">
            <w:pPr>
              <w:pStyle w:val="NormalWeb"/>
              <w:spacing w:before="120" w:beforeAutospacing="0" w:after="120" w:afterAutospacing="0"/>
              <w:rPr>
                <w:rFonts w:asciiTheme="minorHAnsi" w:hAnsiTheme="minorHAnsi"/>
                <w:sz w:val="22"/>
                <w:szCs w:val="22"/>
              </w:rPr>
            </w:pPr>
            <w:r w:rsidRPr="0052127B">
              <w:rPr>
                <w:rFonts w:asciiTheme="minorHAnsi" w:hAnsiTheme="minorHAnsi"/>
                <w:sz w:val="22"/>
                <w:szCs w:val="22"/>
              </w:rPr>
              <w:t xml:space="preserve">Dyer, R. </w:t>
            </w:r>
            <w:r w:rsidRPr="0052127B">
              <w:rPr>
                <w:rFonts w:asciiTheme="minorHAnsi" w:hAnsiTheme="minorHAnsi"/>
                <w:sz w:val="22"/>
                <w:szCs w:val="22"/>
              </w:rPr>
              <w:softHyphen/>
              <w:t xml:space="preserve">et.al. 2001. </w:t>
            </w:r>
            <w:r w:rsidRPr="0052127B">
              <w:rPr>
                <w:rFonts w:asciiTheme="minorHAnsi" w:hAnsiTheme="minorHAnsi"/>
                <w:i/>
                <w:sz w:val="22"/>
                <w:szCs w:val="22"/>
              </w:rPr>
              <w:t xml:space="preserve">Savanna </w:t>
            </w:r>
            <w:r w:rsidRPr="0052127B">
              <w:rPr>
                <w:rFonts w:asciiTheme="minorHAnsi" w:hAnsiTheme="minorHAnsi"/>
                <w:sz w:val="22"/>
                <w:szCs w:val="22"/>
              </w:rPr>
              <w:t>Burning. Tropical Savanna CRC, Darwin.</w:t>
            </w:r>
          </w:p>
        </w:tc>
      </w:tr>
      <w:tr w:rsidR="00B43805" w:rsidRPr="00FC0520" w:rsidTr="00FC150F">
        <w:tc>
          <w:tcPr>
            <w:tcW w:w="15134" w:type="dxa"/>
            <w:gridSpan w:val="3"/>
          </w:tcPr>
          <w:p w:rsidR="00B43805" w:rsidRPr="00B43805" w:rsidRDefault="00B43805" w:rsidP="00B43805">
            <w:pPr>
              <w:pStyle w:val="NormalWeb"/>
              <w:spacing w:before="120" w:beforeAutospacing="0" w:after="120" w:afterAutospacing="0"/>
              <w:rPr>
                <w:rFonts w:asciiTheme="minorHAnsi" w:hAnsiTheme="minorHAnsi"/>
                <w:sz w:val="22"/>
                <w:szCs w:val="22"/>
              </w:rPr>
            </w:pPr>
            <w:proofErr w:type="spellStart"/>
            <w:r w:rsidRPr="0052127B">
              <w:rPr>
                <w:rFonts w:asciiTheme="minorHAnsi" w:hAnsiTheme="minorHAnsi"/>
                <w:sz w:val="22"/>
                <w:szCs w:val="22"/>
              </w:rPr>
              <w:t>Gammage</w:t>
            </w:r>
            <w:proofErr w:type="spellEnd"/>
            <w:r w:rsidRPr="0052127B">
              <w:rPr>
                <w:rFonts w:asciiTheme="minorHAnsi" w:hAnsiTheme="minorHAnsi"/>
                <w:sz w:val="22"/>
                <w:szCs w:val="22"/>
              </w:rPr>
              <w:t xml:space="preserve">, B. 2012. </w:t>
            </w:r>
            <w:r w:rsidRPr="0052127B">
              <w:rPr>
                <w:rFonts w:asciiTheme="minorHAnsi" w:hAnsiTheme="minorHAnsi"/>
                <w:i/>
                <w:sz w:val="22"/>
                <w:szCs w:val="22"/>
              </w:rPr>
              <w:t>The Biggest Estate on Earth.</w:t>
            </w:r>
            <w:r w:rsidRPr="0052127B">
              <w:rPr>
                <w:rFonts w:asciiTheme="minorHAnsi" w:hAnsiTheme="minorHAnsi"/>
                <w:sz w:val="22"/>
                <w:szCs w:val="22"/>
              </w:rPr>
              <w:t xml:space="preserve"> Allen &amp; Unwin, Australia</w:t>
            </w:r>
          </w:p>
        </w:tc>
      </w:tr>
      <w:tr w:rsidR="00B43805" w:rsidRPr="00FC0520" w:rsidTr="00FC150F">
        <w:tc>
          <w:tcPr>
            <w:tcW w:w="15134" w:type="dxa"/>
            <w:gridSpan w:val="3"/>
          </w:tcPr>
          <w:p w:rsidR="00B43805" w:rsidRPr="00FC0520" w:rsidRDefault="00B43805" w:rsidP="00E047B1">
            <w:pPr>
              <w:spacing w:before="120" w:after="120"/>
              <w:ind w:left="33" w:right="-46"/>
            </w:pPr>
            <w:r w:rsidRPr="00C620FF">
              <w:rPr>
                <w:rFonts w:ascii="Arial" w:hAnsi="Arial" w:cs="Arial"/>
                <w:bCs/>
                <w:sz w:val="20"/>
                <w:szCs w:val="20"/>
                <w:shd w:val="clear" w:color="auto" w:fill="FFFFFF"/>
              </w:rPr>
              <w:t xml:space="preserve">Smith, C. 2004. </w:t>
            </w:r>
            <w:r w:rsidRPr="00C620FF">
              <w:rPr>
                <w:rFonts w:ascii="Arial" w:hAnsi="Arial" w:cs="Arial"/>
                <w:bCs/>
                <w:i/>
                <w:sz w:val="20"/>
                <w:szCs w:val="20"/>
                <w:shd w:val="clear" w:color="auto" w:fill="FFFFFF"/>
              </w:rPr>
              <w:t>Country, Kin and Culture: Survival of an Australian Aboriginal Community.</w:t>
            </w:r>
            <w:r w:rsidRPr="00C620FF">
              <w:rPr>
                <w:rFonts w:ascii="Arial" w:hAnsi="Arial" w:cs="Arial"/>
                <w:bCs/>
                <w:sz w:val="20"/>
                <w:szCs w:val="20"/>
                <w:shd w:val="clear" w:color="auto" w:fill="FFFFFF"/>
              </w:rPr>
              <w:t xml:space="preserve"> Wakefield Press, Adelaide</w:t>
            </w:r>
          </w:p>
        </w:tc>
      </w:tr>
      <w:tr w:rsidR="00B43805" w:rsidRPr="00FC0520" w:rsidTr="00FC150F">
        <w:tc>
          <w:tcPr>
            <w:tcW w:w="15134" w:type="dxa"/>
            <w:gridSpan w:val="3"/>
          </w:tcPr>
          <w:p w:rsidR="00B43805" w:rsidRPr="00EB01F1" w:rsidRDefault="00B43805" w:rsidP="00B43805">
            <w:proofErr w:type="spellStart"/>
            <w:r>
              <w:t>Nulungu</w:t>
            </w:r>
            <w:proofErr w:type="spellEnd"/>
            <w:r>
              <w:t xml:space="preserve"> Research Institute</w:t>
            </w:r>
            <w:r>
              <w:tab/>
              <w:t xml:space="preserve">2015. </w:t>
            </w:r>
            <w:r w:rsidRPr="00335287">
              <w:rPr>
                <w:i/>
              </w:rPr>
              <w:t>Cultural and Natural Resource Management: Feasibility Study Report</w:t>
            </w:r>
            <w:r>
              <w:t>. University of Notre Dame Australia, Western Australia.</w:t>
            </w:r>
          </w:p>
          <w:p w:rsidR="00B43805" w:rsidRPr="00FC0520" w:rsidRDefault="00B43805" w:rsidP="00FA00C4">
            <w:pPr>
              <w:spacing w:before="120" w:after="120"/>
              <w:ind w:left="33" w:right="-46"/>
            </w:pPr>
          </w:p>
        </w:tc>
      </w:tr>
    </w:tbl>
    <w:p w:rsidR="0014213A" w:rsidRDefault="0014213A">
      <w:pPr>
        <w:ind w:left="360"/>
      </w:pPr>
    </w:p>
    <w:p w:rsidR="0014213A" w:rsidRDefault="0014213A">
      <w:r>
        <w:br w:type="page"/>
      </w:r>
    </w:p>
    <w:p w:rsidR="0014213A" w:rsidRDefault="0014213A">
      <w:pPr>
        <w:ind w:left="360"/>
      </w:pPr>
    </w:p>
    <w:p w:rsidR="0014213A" w:rsidRPr="00EB01F1" w:rsidRDefault="0014213A">
      <w:pPr>
        <w:ind w:left="360"/>
      </w:pPr>
    </w:p>
    <w:sectPr w:rsidR="0014213A" w:rsidRPr="00EB01F1" w:rsidSect="00804EA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36B3" w:rsidRDefault="009C36B3" w:rsidP="00F67DF1">
      <w:pPr>
        <w:spacing w:after="0" w:line="240" w:lineRule="auto"/>
      </w:pPr>
      <w:r>
        <w:separator/>
      </w:r>
    </w:p>
  </w:endnote>
  <w:endnote w:type="continuationSeparator" w:id="0">
    <w:p w:rsidR="009C36B3" w:rsidRDefault="009C36B3" w:rsidP="00F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Print">
    <w:panose1 w:val="02000800000000000000"/>
    <w:charset w:val="00"/>
    <w:family w:val="auto"/>
    <w:pitch w:val="variable"/>
    <w:sig w:usb0="0000028F"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71876"/>
      <w:docPartObj>
        <w:docPartGallery w:val="Page Numbers (Bottom of Page)"/>
        <w:docPartUnique/>
      </w:docPartObj>
    </w:sdtPr>
    <w:sdtEndPr/>
    <w:sdtContent>
      <w:p w:rsidR="005F35CF" w:rsidRDefault="005F35C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5F35CF" w:rsidRDefault="005F3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328952"/>
      <w:docPartObj>
        <w:docPartGallery w:val="Page Numbers (Bottom of Page)"/>
        <w:docPartUnique/>
      </w:docPartObj>
    </w:sdtPr>
    <w:sdtEndPr/>
    <w:sdtContent>
      <w:p w:rsidR="005F35CF" w:rsidRDefault="005F35C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F35CF" w:rsidRDefault="005F3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36B3" w:rsidRDefault="009C36B3" w:rsidP="00F67DF1">
      <w:pPr>
        <w:spacing w:after="0" w:line="240" w:lineRule="auto"/>
      </w:pPr>
      <w:r>
        <w:separator/>
      </w:r>
    </w:p>
  </w:footnote>
  <w:footnote w:type="continuationSeparator" w:id="0">
    <w:p w:rsidR="009C36B3" w:rsidRDefault="009C36B3" w:rsidP="00F67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B7BE5"/>
    <w:multiLevelType w:val="hybridMultilevel"/>
    <w:tmpl w:val="9990C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601337"/>
    <w:multiLevelType w:val="multilevel"/>
    <w:tmpl w:val="A11A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A7228B"/>
    <w:multiLevelType w:val="multilevel"/>
    <w:tmpl w:val="A9B8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C180B"/>
    <w:multiLevelType w:val="hybridMultilevel"/>
    <w:tmpl w:val="3076AC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504FE"/>
    <w:multiLevelType w:val="hybridMultilevel"/>
    <w:tmpl w:val="B292FC1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700B2573"/>
    <w:multiLevelType w:val="hybridMultilevel"/>
    <w:tmpl w:val="0A3AB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78F001C"/>
    <w:multiLevelType w:val="hybridMultilevel"/>
    <w:tmpl w:val="E47C2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F1"/>
    <w:rsid w:val="0001727C"/>
    <w:rsid w:val="000300B5"/>
    <w:rsid w:val="0005019B"/>
    <w:rsid w:val="000659E6"/>
    <w:rsid w:val="000B61B4"/>
    <w:rsid w:val="00102804"/>
    <w:rsid w:val="001127E9"/>
    <w:rsid w:val="00121F95"/>
    <w:rsid w:val="001222E5"/>
    <w:rsid w:val="00134B0F"/>
    <w:rsid w:val="0014213A"/>
    <w:rsid w:val="00166B51"/>
    <w:rsid w:val="00166C23"/>
    <w:rsid w:val="001A589B"/>
    <w:rsid w:val="001C13B0"/>
    <w:rsid w:val="001D5E72"/>
    <w:rsid w:val="001F0EC9"/>
    <w:rsid w:val="001F737C"/>
    <w:rsid w:val="00214A61"/>
    <w:rsid w:val="0023578E"/>
    <w:rsid w:val="00251A1A"/>
    <w:rsid w:val="00281194"/>
    <w:rsid w:val="002B2E47"/>
    <w:rsid w:val="002B638F"/>
    <w:rsid w:val="002E288A"/>
    <w:rsid w:val="002E4BE4"/>
    <w:rsid w:val="00303149"/>
    <w:rsid w:val="00323EC3"/>
    <w:rsid w:val="00335287"/>
    <w:rsid w:val="003455D1"/>
    <w:rsid w:val="0038672B"/>
    <w:rsid w:val="003A799D"/>
    <w:rsid w:val="003B70B5"/>
    <w:rsid w:val="003D085F"/>
    <w:rsid w:val="003E66DE"/>
    <w:rsid w:val="00436FAC"/>
    <w:rsid w:val="004526DA"/>
    <w:rsid w:val="00475878"/>
    <w:rsid w:val="00491D00"/>
    <w:rsid w:val="004A4114"/>
    <w:rsid w:val="004A4422"/>
    <w:rsid w:val="004E7B32"/>
    <w:rsid w:val="005024C2"/>
    <w:rsid w:val="0052127B"/>
    <w:rsid w:val="00546F91"/>
    <w:rsid w:val="00560CBE"/>
    <w:rsid w:val="005732D1"/>
    <w:rsid w:val="0059531B"/>
    <w:rsid w:val="005C48C9"/>
    <w:rsid w:val="005C604D"/>
    <w:rsid w:val="005F35CF"/>
    <w:rsid w:val="0060392D"/>
    <w:rsid w:val="00614626"/>
    <w:rsid w:val="0062687C"/>
    <w:rsid w:val="00645226"/>
    <w:rsid w:val="006454C3"/>
    <w:rsid w:val="00681754"/>
    <w:rsid w:val="006842E6"/>
    <w:rsid w:val="006A4CEE"/>
    <w:rsid w:val="006A69BA"/>
    <w:rsid w:val="006E2EB9"/>
    <w:rsid w:val="006E493A"/>
    <w:rsid w:val="00706D56"/>
    <w:rsid w:val="00736DFA"/>
    <w:rsid w:val="00747C3C"/>
    <w:rsid w:val="0075728B"/>
    <w:rsid w:val="007768A4"/>
    <w:rsid w:val="00777116"/>
    <w:rsid w:val="007A12CD"/>
    <w:rsid w:val="007B1CAE"/>
    <w:rsid w:val="007E6CED"/>
    <w:rsid w:val="007F2ACA"/>
    <w:rsid w:val="007F4384"/>
    <w:rsid w:val="00804EA0"/>
    <w:rsid w:val="0081213A"/>
    <w:rsid w:val="008176DF"/>
    <w:rsid w:val="00837062"/>
    <w:rsid w:val="0084511C"/>
    <w:rsid w:val="008539B0"/>
    <w:rsid w:val="00862D60"/>
    <w:rsid w:val="00865726"/>
    <w:rsid w:val="00865C77"/>
    <w:rsid w:val="00895A92"/>
    <w:rsid w:val="008973AD"/>
    <w:rsid w:val="008B59ED"/>
    <w:rsid w:val="008E3D8A"/>
    <w:rsid w:val="008F2F66"/>
    <w:rsid w:val="009549FC"/>
    <w:rsid w:val="00984005"/>
    <w:rsid w:val="009963BF"/>
    <w:rsid w:val="009A20C1"/>
    <w:rsid w:val="009A4D7D"/>
    <w:rsid w:val="009C36B3"/>
    <w:rsid w:val="009F0453"/>
    <w:rsid w:val="00A27636"/>
    <w:rsid w:val="00A31B23"/>
    <w:rsid w:val="00A622A1"/>
    <w:rsid w:val="00A954FA"/>
    <w:rsid w:val="00AA56D4"/>
    <w:rsid w:val="00AA625C"/>
    <w:rsid w:val="00AE69B0"/>
    <w:rsid w:val="00B00698"/>
    <w:rsid w:val="00B0407A"/>
    <w:rsid w:val="00B05268"/>
    <w:rsid w:val="00B16555"/>
    <w:rsid w:val="00B2067E"/>
    <w:rsid w:val="00B36C03"/>
    <w:rsid w:val="00B43805"/>
    <w:rsid w:val="00B63144"/>
    <w:rsid w:val="00B65F37"/>
    <w:rsid w:val="00B94D9A"/>
    <w:rsid w:val="00B97E70"/>
    <w:rsid w:val="00BA1B99"/>
    <w:rsid w:val="00C25BA8"/>
    <w:rsid w:val="00C509AC"/>
    <w:rsid w:val="00C620FF"/>
    <w:rsid w:val="00CA3CB1"/>
    <w:rsid w:val="00CC6C69"/>
    <w:rsid w:val="00CE3583"/>
    <w:rsid w:val="00CE66B9"/>
    <w:rsid w:val="00D24A27"/>
    <w:rsid w:val="00D27918"/>
    <w:rsid w:val="00D3147D"/>
    <w:rsid w:val="00D32C13"/>
    <w:rsid w:val="00D647B9"/>
    <w:rsid w:val="00D66713"/>
    <w:rsid w:val="00DC20C4"/>
    <w:rsid w:val="00DE2378"/>
    <w:rsid w:val="00DF0046"/>
    <w:rsid w:val="00E047B1"/>
    <w:rsid w:val="00E17553"/>
    <w:rsid w:val="00E44DAF"/>
    <w:rsid w:val="00E707AD"/>
    <w:rsid w:val="00E72B03"/>
    <w:rsid w:val="00EA07D1"/>
    <w:rsid w:val="00EA08E9"/>
    <w:rsid w:val="00EB01F1"/>
    <w:rsid w:val="00EB31AB"/>
    <w:rsid w:val="00EB3627"/>
    <w:rsid w:val="00EF1CE3"/>
    <w:rsid w:val="00EF4B85"/>
    <w:rsid w:val="00F02041"/>
    <w:rsid w:val="00F67DF1"/>
    <w:rsid w:val="00F7208E"/>
    <w:rsid w:val="00F72F02"/>
    <w:rsid w:val="00F97809"/>
    <w:rsid w:val="00FA00C4"/>
    <w:rsid w:val="00FC0520"/>
    <w:rsid w:val="00FC150F"/>
    <w:rsid w:val="00FE0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89F2"/>
  <w15:docId w15:val="{2B0AEBC0-C6BE-694D-AF2A-110698B8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DF1"/>
  </w:style>
  <w:style w:type="paragraph" w:styleId="Heading1">
    <w:name w:val="heading 1"/>
    <w:basedOn w:val="BodyText"/>
    <w:next w:val="Normal"/>
    <w:link w:val="Heading1Char"/>
    <w:uiPriority w:val="9"/>
    <w:qFormat/>
    <w:rsid w:val="00E707AD"/>
    <w:pPr>
      <w:spacing w:before="200" w:after="200" w:line="240" w:lineRule="auto"/>
      <w:outlineLvl w:val="0"/>
    </w:pPr>
    <w:rPr>
      <w:rFonts w:ascii="Segoe Print" w:hAnsi="Segoe Print"/>
      <w:b/>
      <w:color w:val="984806" w:themeColor="accent6" w:themeShade="80"/>
      <w:sz w:val="28"/>
      <w:szCs w:val="28"/>
    </w:rPr>
  </w:style>
  <w:style w:type="paragraph" w:styleId="Heading2">
    <w:name w:val="heading 2"/>
    <w:basedOn w:val="BodyText"/>
    <w:next w:val="Normal"/>
    <w:link w:val="Heading2Char"/>
    <w:uiPriority w:val="9"/>
    <w:unhideWhenUsed/>
    <w:qFormat/>
    <w:rsid w:val="00E707AD"/>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7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DF1"/>
  </w:style>
  <w:style w:type="paragraph" w:styleId="NormalWeb">
    <w:name w:val="Normal (Web)"/>
    <w:basedOn w:val="Normal"/>
    <w:uiPriority w:val="99"/>
    <w:unhideWhenUsed/>
    <w:rsid w:val="00F67DF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rsid w:val="00F67DF1"/>
    <w:pPr>
      <w:spacing w:before="140" w:after="0" w:line="280" w:lineRule="exact"/>
      <w:jc w:val="both"/>
    </w:pPr>
    <w:rPr>
      <w:lang w:val="en-US"/>
    </w:rPr>
  </w:style>
  <w:style w:type="character" w:customStyle="1" w:styleId="BodyTextChar">
    <w:name w:val="Body Text Char"/>
    <w:basedOn w:val="DefaultParagraphFont"/>
    <w:link w:val="BodyText"/>
    <w:rsid w:val="00F67DF1"/>
    <w:rPr>
      <w:lang w:val="en-US"/>
    </w:rPr>
  </w:style>
  <w:style w:type="table" w:styleId="TableGrid">
    <w:name w:val="Table Grid"/>
    <w:basedOn w:val="TableNormal"/>
    <w:uiPriority w:val="59"/>
    <w:rsid w:val="00F67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67D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DF1"/>
    <w:rPr>
      <w:sz w:val="20"/>
      <w:szCs w:val="20"/>
    </w:rPr>
  </w:style>
  <w:style w:type="character" w:styleId="FootnoteReference">
    <w:name w:val="footnote reference"/>
    <w:basedOn w:val="DefaultParagraphFont"/>
    <w:uiPriority w:val="99"/>
    <w:semiHidden/>
    <w:unhideWhenUsed/>
    <w:rsid w:val="00F67DF1"/>
    <w:rPr>
      <w:vertAlign w:val="superscript"/>
    </w:rPr>
  </w:style>
  <w:style w:type="paragraph" w:styleId="BalloonText">
    <w:name w:val="Balloon Text"/>
    <w:basedOn w:val="Normal"/>
    <w:link w:val="BalloonTextChar"/>
    <w:uiPriority w:val="99"/>
    <w:semiHidden/>
    <w:unhideWhenUsed/>
    <w:rsid w:val="00F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DF1"/>
    <w:rPr>
      <w:rFonts w:ascii="Tahoma" w:hAnsi="Tahoma" w:cs="Tahoma"/>
      <w:sz w:val="16"/>
      <w:szCs w:val="16"/>
    </w:rPr>
  </w:style>
  <w:style w:type="paragraph" w:styleId="ListParagraph">
    <w:name w:val="List Paragraph"/>
    <w:basedOn w:val="Normal"/>
    <w:uiPriority w:val="34"/>
    <w:qFormat/>
    <w:rsid w:val="00A27636"/>
    <w:pPr>
      <w:ind w:left="720"/>
      <w:contextualSpacing/>
    </w:pPr>
  </w:style>
  <w:style w:type="character" w:customStyle="1" w:styleId="Heading1Char">
    <w:name w:val="Heading 1 Char"/>
    <w:basedOn w:val="DefaultParagraphFont"/>
    <w:link w:val="Heading1"/>
    <w:uiPriority w:val="9"/>
    <w:rsid w:val="00E707AD"/>
    <w:rPr>
      <w:rFonts w:ascii="Segoe Print" w:hAnsi="Segoe Print"/>
      <w:b/>
      <w:color w:val="984806" w:themeColor="accent6" w:themeShade="80"/>
      <w:sz w:val="28"/>
      <w:szCs w:val="28"/>
      <w:lang w:val="en-US"/>
    </w:rPr>
  </w:style>
  <w:style w:type="character" w:customStyle="1" w:styleId="Heading2Char">
    <w:name w:val="Heading 2 Char"/>
    <w:basedOn w:val="DefaultParagraphFont"/>
    <w:link w:val="Heading2"/>
    <w:uiPriority w:val="9"/>
    <w:rsid w:val="00E707AD"/>
    <w:rPr>
      <w:b/>
      <w:lang w:val="en-US"/>
    </w:rPr>
  </w:style>
  <w:style w:type="paragraph" w:styleId="TOC1">
    <w:name w:val="toc 1"/>
    <w:basedOn w:val="Normal"/>
    <w:next w:val="Normal"/>
    <w:autoRedefine/>
    <w:uiPriority w:val="39"/>
    <w:unhideWhenUsed/>
    <w:qFormat/>
    <w:rsid w:val="0005019B"/>
    <w:pPr>
      <w:tabs>
        <w:tab w:val="right" w:leader="dot" w:pos="9016"/>
      </w:tabs>
      <w:spacing w:after="100"/>
    </w:pPr>
    <w:rPr>
      <w:b/>
      <w:noProof/>
    </w:rPr>
  </w:style>
  <w:style w:type="paragraph" w:styleId="TOC2">
    <w:name w:val="toc 2"/>
    <w:basedOn w:val="Normal"/>
    <w:next w:val="Normal"/>
    <w:autoRedefine/>
    <w:uiPriority w:val="39"/>
    <w:unhideWhenUsed/>
    <w:qFormat/>
    <w:rsid w:val="00E707AD"/>
    <w:pPr>
      <w:spacing w:after="100"/>
      <w:ind w:left="220"/>
    </w:pPr>
  </w:style>
  <w:style w:type="character" w:styleId="Hyperlink">
    <w:name w:val="Hyperlink"/>
    <w:basedOn w:val="DefaultParagraphFont"/>
    <w:uiPriority w:val="99"/>
    <w:unhideWhenUsed/>
    <w:rsid w:val="00E707AD"/>
    <w:rPr>
      <w:color w:val="0000FF" w:themeColor="hyperlink"/>
      <w:u w:val="single"/>
    </w:rPr>
  </w:style>
  <w:style w:type="paragraph" w:styleId="TOCHeading">
    <w:name w:val="TOC Heading"/>
    <w:basedOn w:val="Heading1"/>
    <w:next w:val="Normal"/>
    <w:uiPriority w:val="39"/>
    <w:semiHidden/>
    <w:unhideWhenUsed/>
    <w:qFormat/>
    <w:rsid w:val="009A20C1"/>
    <w:pPr>
      <w:keepNext/>
      <w:keepLines/>
      <w:spacing w:before="480" w:after="0" w:line="276" w:lineRule="auto"/>
      <w:jc w:val="left"/>
      <w:outlineLvl w:val="9"/>
    </w:pPr>
    <w:rPr>
      <w:rFonts w:asciiTheme="majorHAnsi" w:eastAsiaTheme="majorEastAsia" w:hAnsiTheme="majorHAnsi" w:cstheme="majorBidi"/>
      <w:bCs/>
      <w:color w:val="365F91" w:themeColor="accent1" w:themeShade="BF"/>
    </w:rPr>
  </w:style>
  <w:style w:type="paragraph" w:styleId="TOC3">
    <w:name w:val="toc 3"/>
    <w:basedOn w:val="Normal"/>
    <w:next w:val="Normal"/>
    <w:autoRedefine/>
    <w:uiPriority w:val="39"/>
    <w:unhideWhenUsed/>
    <w:qFormat/>
    <w:rsid w:val="009A20C1"/>
    <w:pPr>
      <w:spacing w:after="100"/>
      <w:ind w:left="440"/>
    </w:pPr>
    <w:rPr>
      <w:rFonts w:eastAsiaTheme="minorEastAsia"/>
      <w:lang w:val="en-US"/>
    </w:rPr>
  </w:style>
  <w:style w:type="paragraph" w:styleId="Header">
    <w:name w:val="header"/>
    <w:basedOn w:val="Normal"/>
    <w:link w:val="HeaderChar"/>
    <w:uiPriority w:val="99"/>
    <w:semiHidden/>
    <w:unhideWhenUsed/>
    <w:rsid w:val="003B70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7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942B16D644F0B4B9C3BF2C99F339BDD" ma:contentTypeVersion="12" ma:contentTypeDescription="Create a new document." ma:contentTypeScope="" ma:versionID="c86df425d36de24bf6e29e1ee2051fd4">
  <xsd:schema xmlns:xsd="http://www.w3.org/2001/XMLSchema" xmlns:xs="http://www.w3.org/2001/XMLSchema" xmlns:p="http://schemas.microsoft.com/office/2006/metadata/properties" xmlns:ns2="425e621d-cf9e-4a72-9a5c-560893b35f64" xmlns:ns3="1566dfd6-73b0-4ac5-8d21-b9eb58878405" targetNamespace="http://schemas.microsoft.com/office/2006/metadata/properties" ma:root="true" ma:fieldsID="6048ede2bb868b116f81bf60715c2e10" ns2:_="" ns3:_="">
    <xsd:import namespace="425e621d-cf9e-4a72-9a5c-560893b35f64"/>
    <xsd:import namespace="1566dfd6-73b0-4ac5-8d21-b9eb58878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e621d-cf9e-4a72-9a5c-560893b35f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6dfd6-73b0-4ac5-8d21-b9eb58878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6CA04E-5EDC-4E9F-9503-73DBD9E7E5E8}">
  <ds:schemaRefs>
    <ds:schemaRef ds:uri="http://schemas.openxmlformats.org/officeDocument/2006/bibliography"/>
  </ds:schemaRefs>
</ds:datastoreItem>
</file>

<file path=customXml/itemProps2.xml><?xml version="1.0" encoding="utf-8"?>
<ds:datastoreItem xmlns:ds="http://schemas.openxmlformats.org/officeDocument/2006/customXml" ds:itemID="{F1CEEADB-6D86-4CAB-A5D5-C22496D19762}"/>
</file>

<file path=customXml/itemProps3.xml><?xml version="1.0" encoding="utf-8"?>
<ds:datastoreItem xmlns:ds="http://schemas.openxmlformats.org/officeDocument/2006/customXml" ds:itemID="{A1D84D4F-36AF-4496-BF5E-7A655966F095}"/>
</file>

<file path=customXml/itemProps4.xml><?xml version="1.0" encoding="utf-8"?>
<ds:datastoreItem xmlns:ds="http://schemas.openxmlformats.org/officeDocument/2006/customXml" ds:itemID="{00514B7C-F27B-4A92-9C9B-BB99C2663D87}"/>
</file>

<file path=docProps/app.xml><?xml version="1.0" encoding="utf-8"?>
<Properties xmlns="http://schemas.openxmlformats.org/officeDocument/2006/extended-properties" xmlns:vt="http://schemas.openxmlformats.org/officeDocument/2006/docPropsVTypes">
  <Template>Normal.dotm</Template>
  <TotalTime>12</TotalTime>
  <Pages>15</Pages>
  <Words>5287</Words>
  <Characters>30139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Iolanthe</dc:creator>
  <cp:lastModifiedBy>Stephen Anthony Sutton</cp:lastModifiedBy>
  <cp:revision>4</cp:revision>
  <cp:lastPrinted>2016-02-09T04:04:00Z</cp:lastPrinted>
  <dcterms:created xsi:type="dcterms:W3CDTF">2020-05-13T03:40:00Z</dcterms:created>
  <dcterms:modified xsi:type="dcterms:W3CDTF">2020-05-13T05:56:00Z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0x0101007942B16D644F0B4B9C3BF2C99F339BDD</vt:lpwstr>
  </property>
</Properties>
</file>