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0F2BD" w14:textId="5DA45F52" w:rsidR="00B04DC1" w:rsidRDefault="00B62848" w:rsidP="00B62848">
      <w:pPr>
        <w:rPr>
          <w:rFonts w:ascii="Century Gothic" w:eastAsia="Sintony" w:hAnsi="Century Gothic" w:cs="Sintony"/>
          <w:b/>
          <w:bCs/>
          <w:position w:val="3"/>
          <w:sz w:val="48"/>
          <w:szCs w:val="48"/>
        </w:rPr>
      </w:pPr>
      <w:r w:rsidRPr="00B62848">
        <w:rPr>
          <w:rFonts w:ascii="Century Gothic" w:eastAsia="Sintony" w:hAnsi="Century Gothic" w:cs="Sintony"/>
          <w:b/>
          <w:bCs/>
          <w:position w:val="3"/>
          <w:sz w:val="48"/>
          <w:szCs w:val="48"/>
        </w:rPr>
        <w:t>Bushfire and Natural Hazards CRC</w:t>
      </w:r>
      <w:r>
        <w:rPr>
          <w:rFonts w:ascii="Century Gothic" w:eastAsia="Sintony" w:hAnsi="Century Gothic" w:cs="Sintony"/>
          <w:b/>
          <w:bCs/>
          <w:position w:val="3"/>
          <w:sz w:val="48"/>
          <w:szCs w:val="48"/>
        </w:rPr>
        <w:t xml:space="preserve"> </w:t>
      </w:r>
      <w:r w:rsidR="00E91858" w:rsidRPr="00E91858">
        <w:rPr>
          <w:rFonts w:ascii="Century Gothic" w:eastAsia="Sintony" w:hAnsi="Century Gothic" w:cs="Sintony"/>
          <w:b/>
          <w:bCs/>
          <w:position w:val="3"/>
          <w:sz w:val="48"/>
          <w:szCs w:val="48"/>
        </w:rPr>
        <w:t>Quick response funding report guideline</w:t>
      </w:r>
      <w:r w:rsidR="0014138D" w:rsidRPr="0014138D">
        <w:rPr>
          <w:rFonts w:ascii="Century Gothic" w:eastAsia="Sintony" w:hAnsi="Century Gothic" w:cs="Sintony"/>
          <w:b/>
          <w:bCs/>
          <w:position w:val="3"/>
          <w:sz w:val="48"/>
          <w:szCs w:val="48"/>
        </w:rPr>
        <w:t>s</w:t>
      </w:r>
    </w:p>
    <w:p w14:paraId="76800A6D" w14:textId="77777777" w:rsidR="00B62848" w:rsidRPr="00B62848" w:rsidRDefault="00B62848" w:rsidP="00B62848">
      <w:pPr>
        <w:rPr>
          <w:rFonts w:ascii="Century Gothic" w:eastAsia="Sintony" w:hAnsi="Century Gothic" w:cs="Sintony"/>
          <w:b/>
          <w:bCs/>
          <w:position w:val="3"/>
          <w:sz w:val="21"/>
          <w:szCs w:val="21"/>
        </w:rPr>
      </w:pPr>
    </w:p>
    <w:p w14:paraId="541AC97F" w14:textId="2CA8312C" w:rsidR="00F37EA5" w:rsidRDefault="00F37EA5" w:rsidP="00F37EA5">
      <w:pPr>
        <w:rPr>
          <w:rFonts w:ascii="Century Gothic" w:hAnsi="Century Gothic"/>
          <w:b/>
          <w:sz w:val="21"/>
          <w:szCs w:val="21"/>
        </w:rPr>
        <w:sectPr w:rsidR="00F37EA5" w:rsidSect="00D40D98">
          <w:headerReference w:type="default" r:id="rId8"/>
          <w:footerReference w:type="default" r:id="rId9"/>
          <w:headerReference w:type="first" r:id="rId10"/>
          <w:footerReference w:type="first" r:id="rId11"/>
          <w:pgSz w:w="11906" w:h="16838"/>
          <w:pgMar w:top="2410" w:right="1440" w:bottom="1440" w:left="1440" w:header="709" w:footer="567" w:gutter="0"/>
          <w:cols w:space="708"/>
          <w:titlePg/>
          <w:docGrid w:linePitch="360"/>
        </w:sectPr>
      </w:pPr>
    </w:p>
    <w:p w14:paraId="1D4EE7DD" w14:textId="638FF575" w:rsidR="00E91858" w:rsidRPr="00E91858" w:rsidRDefault="00E91858" w:rsidP="00E91858">
      <w:pPr>
        <w:rPr>
          <w:rFonts w:ascii="Century Gothic" w:hAnsi="Century Gothic"/>
          <w:sz w:val="21"/>
          <w:szCs w:val="21"/>
        </w:rPr>
      </w:pPr>
      <w:r w:rsidRPr="00E91858">
        <w:rPr>
          <w:rFonts w:ascii="Century Gothic" w:hAnsi="Century Gothic"/>
          <w:sz w:val="21"/>
          <w:szCs w:val="21"/>
        </w:rPr>
        <w:t xml:space="preserve">The Bushfire and Natural Hazards CRC has established </w:t>
      </w:r>
      <w:r w:rsidR="00384711">
        <w:rPr>
          <w:rFonts w:ascii="Century Gothic" w:hAnsi="Century Gothic"/>
          <w:sz w:val="21"/>
          <w:szCs w:val="21"/>
        </w:rPr>
        <w:t>funding</w:t>
      </w:r>
      <w:r w:rsidR="00CD3A42">
        <w:rPr>
          <w:rFonts w:ascii="Century Gothic" w:hAnsi="Century Gothic"/>
          <w:sz w:val="21"/>
          <w:szCs w:val="21"/>
        </w:rPr>
        <w:t xml:space="preserve"> for quick response which aims</w:t>
      </w:r>
      <w:r w:rsidRPr="00E91858">
        <w:rPr>
          <w:rFonts w:ascii="Century Gothic" w:hAnsi="Century Gothic"/>
          <w:sz w:val="21"/>
          <w:szCs w:val="21"/>
        </w:rPr>
        <w:t xml:space="preserve"> to provide support for researchers to travel to disaster-affected areas to gain an understanding of the event, the impacts and to capture perishable data. These activities can help to identify significant research questions arising from major natural hazard events and provide a context for developing more extensive research proposals.</w:t>
      </w:r>
    </w:p>
    <w:p w14:paraId="64BAD1DB" w14:textId="6C37AC66" w:rsidR="00E91858" w:rsidRPr="00E91858" w:rsidRDefault="005E4BA9" w:rsidP="00E91858">
      <w:pPr>
        <w:rPr>
          <w:rFonts w:ascii="Century Gothic" w:hAnsi="Century Gothic"/>
          <w:sz w:val="21"/>
          <w:szCs w:val="21"/>
        </w:rPr>
      </w:pPr>
      <w:r>
        <w:rPr>
          <w:rFonts w:ascii="Century Gothic" w:hAnsi="Century Gothic"/>
          <w:sz w:val="21"/>
          <w:szCs w:val="21"/>
        </w:rPr>
        <w:t>Funding is provided as</w:t>
      </w:r>
      <w:r w:rsidR="00E91858" w:rsidRPr="00E91858">
        <w:rPr>
          <w:rFonts w:ascii="Century Gothic" w:hAnsi="Century Gothic"/>
          <w:sz w:val="21"/>
          <w:szCs w:val="21"/>
        </w:rPr>
        <w:t xml:space="preserve"> reimbursement of travel-related expenses such as airfares, car rental and accommodation. If approved, such expenses will be paid upon the submission of a short report summarising the activities undertaken, the findings and future activities likely to result from the activities. Reports must cover the matters outlined below and be completed using the Bushfire and Natural Hazards CRC </w:t>
      </w:r>
      <w:hyperlink r:id="rId12" w:history="1">
        <w:r w:rsidR="00E91858" w:rsidRPr="00DE4B60">
          <w:rPr>
            <w:rStyle w:val="Hyperlink"/>
            <w:rFonts w:ascii="Century Gothic" w:hAnsi="Century Gothic"/>
            <w:sz w:val="21"/>
            <w:szCs w:val="21"/>
          </w:rPr>
          <w:t>report template</w:t>
        </w:r>
      </w:hyperlink>
      <w:r w:rsidR="00E91858" w:rsidRPr="00E91858">
        <w:rPr>
          <w:rFonts w:ascii="Century Gothic" w:hAnsi="Century Gothic"/>
          <w:sz w:val="21"/>
          <w:szCs w:val="21"/>
        </w:rPr>
        <w:t>.</w:t>
      </w:r>
    </w:p>
    <w:p w14:paraId="34C84A73" w14:textId="65E8D872" w:rsidR="00E91858" w:rsidRPr="00E91858" w:rsidRDefault="00E91858" w:rsidP="00E91858">
      <w:pPr>
        <w:rPr>
          <w:rFonts w:ascii="Century Gothic" w:hAnsi="Century Gothic"/>
          <w:sz w:val="21"/>
          <w:szCs w:val="21"/>
        </w:rPr>
      </w:pPr>
      <w:r w:rsidRPr="00E91858">
        <w:rPr>
          <w:rFonts w:ascii="Century Gothic" w:hAnsi="Century Gothic"/>
          <w:sz w:val="21"/>
          <w:szCs w:val="21"/>
        </w:rPr>
        <w:t>Reports should be submitted within 30 days of the completion of the travel. Reports should be approximately 5000 words and include:</w:t>
      </w:r>
    </w:p>
    <w:p w14:paraId="6EBE7E59" w14:textId="77777777" w:rsidR="00E93377" w:rsidRDefault="00E93377" w:rsidP="00FB0F15">
      <w:pPr>
        <w:pStyle w:val="ListParagraph"/>
        <w:numPr>
          <w:ilvl w:val="0"/>
          <w:numId w:val="13"/>
        </w:numPr>
        <w:rPr>
          <w:rFonts w:ascii="Century Gothic" w:hAnsi="Century Gothic"/>
          <w:b/>
          <w:bCs/>
          <w:sz w:val="21"/>
          <w:szCs w:val="21"/>
        </w:rPr>
        <w:sectPr w:rsidR="00E93377" w:rsidSect="00E93377">
          <w:type w:val="continuous"/>
          <w:pgSz w:w="11906" w:h="16838"/>
          <w:pgMar w:top="2410" w:right="1440" w:bottom="1440" w:left="1440" w:header="709" w:footer="567" w:gutter="0"/>
          <w:cols w:space="708"/>
          <w:titlePg/>
          <w:docGrid w:linePitch="360"/>
        </w:sectPr>
      </w:pPr>
    </w:p>
    <w:p w14:paraId="02DCFC1E" w14:textId="0DED96CA" w:rsidR="00E91858" w:rsidRPr="00FB0F15" w:rsidRDefault="00E91858" w:rsidP="00FB0F15">
      <w:pPr>
        <w:pStyle w:val="ListParagraph"/>
        <w:numPr>
          <w:ilvl w:val="0"/>
          <w:numId w:val="13"/>
        </w:numPr>
        <w:rPr>
          <w:rFonts w:ascii="Century Gothic" w:hAnsi="Century Gothic"/>
          <w:b/>
          <w:bCs/>
          <w:sz w:val="21"/>
          <w:szCs w:val="21"/>
        </w:rPr>
      </w:pPr>
      <w:r w:rsidRPr="00FB0F15">
        <w:rPr>
          <w:rFonts w:ascii="Century Gothic" w:hAnsi="Century Gothic"/>
          <w:b/>
          <w:bCs/>
          <w:sz w:val="21"/>
          <w:szCs w:val="21"/>
        </w:rPr>
        <w:t>Abstract</w:t>
      </w:r>
    </w:p>
    <w:p w14:paraId="72C0B24F" w14:textId="6C8C4F09" w:rsidR="00E91858" w:rsidRPr="00FB0F15" w:rsidRDefault="00E91858" w:rsidP="00FB0F15">
      <w:pPr>
        <w:pStyle w:val="ListParagraph"/>
        <w:numPr>
          <w:ilvl w:val="0"/>
          <w:numId w:val="13"/>
        </w:numPr>
        <w:rPr>
          <w:rFonts w:ascii="Century Gothic" w:hAnsi="Century Gothic"/>
          <w:sz w:val="21"/>
          <w:szCs w:val="21"/>
        </w:rPr>
      </w:pPr>
      <w:r w:rsidRPr="00FB0F15">
        <w:rPr>
          <w:rFonts w:ascii="Century Gothic" w:hAnsi="Century Gothic"/>
          <w:b/>
          <w:bCs/>
          <w:sz w:val="21"/>
          <w:szCs w:val="21"/>
        </w:rPr>
        <w:t>Background</w:t>
      </w:r>
      <w:r w:rsidRPr="00FB0F15">
        <w:rPr>
          <w:rFonts w:ascii="Century Gothic" w:hAnsi="Century Gothic"/>
          <w:sz w:val="21"/>
          <w:szCs w:val="21"/>
        </w:rPr>
        <w:t xml:space="preserve"> –</w:t>
      </w:r>
      <w:r w:rsidR="00FB0F15">
        <w:rPr>
          <w:rFonts w:ascii="Century Gothic" w:hAnsi="Century Gothic"/>
          <w:sz w:val="21"/>
          <w:szCs w:val="21"/>
        </w:rPr>
        <w:t xml:space="preserve"> </w:t>
      </w:r>
      <w:r w:rsidRPr="00FB0F15">
        <w:rPr>
          <w:rFonts w:ascii="Century Gothic" w:hAnsi="Century Gothic"/>
          <w:sz w:val="21"/>
          <w:szCs w:val="21"/>
        </w:rPr>
        <w:t>which should provide a brief description of the event, its location and impact. It should also indicate very briefly the issues to be investigate.</w:t>
      </w:r>
    </w:p>
    <w:p w14:paraId="65856F5E" w14:textId="77777777" w:rsidR="00E91858" w:rsidRPr="00FB0F15" w:rsidRDefault="00E91858" w:rsidP="00FB0F15">
      <w:pPr>
        <w:pStyle w:val="ListParagraph"/>
        <w:numPr>
          <w:ilvl w:val="0"/>
          <w:numId w:val="13"/>
        </w:numPr>
        <w:rPr>
          <w:rFonts w:ascii="Century Gothic" w:hAnsi="Century Gothic"/>
          <w:sz w:val="21"/>
          <w:szCs w:val="21"/>
        </w:rPr>
      </w:pPr>
      <w:r w:rsidRPr="00FB0F15">
        <w:rPr>
          <w:rFonts w:ascii="Century Gothic" w:hAnsi="Century Gothic"/>
          <w:b/>
          <w:bCs/>
          <w:sz w:val="21"/>
          <w:szCs w:val="21"/>
        </w:rPr>
        <w:t>Objectives</w:t>
      </w:r>
      <w:r w:rsidRPr="00FB0F15">
        <w:rPr>
          <w:rFonts w:ascii="Century Gothic" w:hAnsi="Century Gothic"/>
          <w:sz w:val="21"/>
          <w:szCs w:val="21"/>
        </w:rPr>
        <w:t xml:space="preserve"> – this section should more fully explain the issues investigated, list the research questions and outline the state of knowledge prior to the investigation. This section should include appropriate contextual information such as the way in which this investigation was expected to support other pieces of research (in particular other Bushfire and Natural Hazards CRC projects).</w:t>
      </w:r>
    </w:p>
    <w:p w14:paraId="4B0E64DB" w14:textId="77777777" w:rsidR="00E91858" w:rsidRPr="00FB0F15" w:rsidRDefault="00E91858" w:rsidP="00FB0F15">
      <w:pPr>
        <w:pStyle w:val="ListParagraph"/>
        <w:numPr>
          <w:ilvl w:val="0"/>
          <w:numId w:val="13"/>
        </w:numPr>
        <w:rPr>
          <w:rFonts w:ascii="Century Gothic" w:hAnsi="Century Gothic"/>
          <w:sz w:val="21"/>
          <w:szCs w:val="21"/>
        </w:rPr>
      </w:pPr>
      <w:r w:rsidRPr="00FB0F15">
        <w:rPr>
          <w:rFonts w:ascii="Century Gothic" w:hAnsi="Century Gothic"/>
          <w:b/>
          <w:bCs/>
          <w:sz w:val="21"/>
          <w:szCs w:val="21"/>
        </w:rPr>
        <w:t>Methods</w:t>
      </w:r>
      <w:r w:rsidRPr="00FB0F15">
        <w:rPr>
          <w:rFonts w:ascii="Century Gothic" w:hAnsi="Century Gothic"/>
          <w:sz w:val="21"/>
          <w:szCs w:val="21"/>
        </w:rPr>
        <w:t xml:space="preserve"> – this section should include details of the data collection methodology or describe the way in which the investigation was conducted. If data has been collected and can be shared, metadata should be included in an appendix to the report.</w:t>
      </w:r>
    </w:p>
    <w:p w14:paraId="023FFB21" w14:textId="77777777" w:rsidR="00E91858" w:rsidRPr="00FB0F15" w:rsidRDefault="00E91858" w:rsidP="00FB0F15">
      <w:pPr>
        <w:pStyle w:val="ListParagraph"/>
        <w:numPr>
          <w:ilvl w:val="0"/>
          <w:numId w:val="13"/>
        </w:numPr>
        <w:rPr>
          <w:rFonts w:ascii="Century Gothic" w:hAnsi="Century Gothic"/>
          <w:sz w:val="21"/>
          <w:szCs w:val="21"/>
        </w:rPr>
      </w:pPr>
      <w:r w:rsidRPr="00FB0F15">
        <w:rPr>
          <w:rFonts w:ascii="Century Gothic" w:hAnsi="Century Gothic"/>
          <w:b/>
          <w:bCs/>
          <w:sz w:val="21"/>
          <w:szCs w:val="21"/>
        </w:rPr>
        <w:t>Findings</w:t>
      </w:r>
      <w:r w:rsidRPr="00FB0F15">
        <w:rPr>
          <w:rFonts w:ascii="Century Gothic" w:hAnsi="Century Gothic"/>
          <w:sz w:val="21"/>
          <w:szCs w:val="21"/>
        </w:rPr>
        <w:t xml:space="preserve"> – it is recognised that any findings are likely to be preliminary and subject to more robust analysis and appropriate caveats can be included. If more appropriate, this section may focus on ‘initial themes’.</w:t>
      </w:r>
    </w:p>
    <w:p w14:paraId="6B91E519" w14:textId="77777777" w:rsidR="00E91858" w:rsidRPr="00FB0F15" w:rsidRDefault="00E91858" w:rsidP="00FB0F15">
      <w:pPr>
        <w:pStyle w:val="ListParagraph"/>
        <w:numPr>
          <w:ilvl w:val="0"/>
          <w:numId w:val="13"/>
        </w:numPr>
        <w:rPr>
          <w:rFonts w:ascii="Century Gothic" w:hAnsi="Century Gothic"/>
          <w:b/>
          <w:bCs/>
          <w:sz w:val="21"/>
          <w:szCs w:val="21"/>
        </w:rPr>
      </w:pPr>
      <w:r w:rsidRPr="00FB0F15">
        <w:rPr>
          <w:rFonts w:ascii="Century Gothic" w:hAnsi="Century Gothic"/>
          <w:b/>
          <w:bCs/>
          <w:sz w:val="21"/>
          <w:szCs w:val="21"/>
        </w:rPr>
        <w:t>Future use of outcomes</w:t>
      </w:r>
    </w:p>
    <w:p w14:paraId="570ECE31" w14:textId="77777777" w:rsidR="00E91858" w:rsidRPr="00FB0F15" w:rsidRDefault="00E91858" w:rsidP="00FB0F15">
      <w:pPr>
        <w:pStyle w:val="ListParagraph"/>
        <w:numPr>
          <w:ilvl w:val="0"/>
          <w:numId w:val="13"/>
        </w:numPr>
        <w:rPr>
          <w:rFonts w:ascii="Century Gothic" w:hAnsi="Century Gothic"/>
          <w:b/>
          <w:bCs/>
          <w:sz w:val="21"/>
          <w:szCs w:val="21"/>
        </w:rPr>
      </w:pPr>
      <w:r w:rsidRPr="00FB0F15">
        <w:rPr>
          <w:rFonts w:ascii="Century Gothic" w:hAnsi="Century Gothic"/>
          <w:b/>
          <w:bCs/>
          <w:sz w:val="21"/>
          <w:szCs w:val="21"/>
        </w:rPr>
        <w:t>Conclusions</w:t>
      </w:r>
    </w:p>
    <w:p w14:paraId="74C5A8D2" w14:textId="77777777" w:rsidR="00E93377" w:rsidRDefault="00E93377" w:rsidP="00E91858">
      <w:pPr>
        <w:rPr>
          <w:rFonts w:ascii="Century Gothic" w:hAnsi="Century Gothic"/>
          <w:sz w:val="21"/>
          <w:szCs w:val="21"/>
        </w:rPr>
        <w:sectPr w:rsidR="00E93377" w:rsidSect="00E93377">
          <w:type w:val="continuous"/>
          <w:pgSz w:w="11906" w:h="16838"/>
          <w:pgMar w:top="2410" w:right="1440" w:bottom="1440" w:left="1440" w:header="709" w:footer="567" w:gutter="0"/>
          <w:cols w:num="2" w:space="708"/>
          <w:titlePg/>
          <w:docGrid w:linePitch="360"/>
        </w:sectPr>
      </w:pPr>
    </w:p>
    <w:p w14:paraId="0886D124" w14:textId="77777777" w:rsidR="00E93377" w:rsidRDefault="00E93377" w:rsidP="00E91858">
      <w:pPr>
        <w:rPr>
          <w:rFonts w:ascii="Century Gothic" w:hAnsi="Century Gothic"/>
          <w:sz w:val="21"/>
          <w:szCs w:val="21"/>
        </w:rPr>
      </w:pPr>
    </w:p>
    <w:p w14:paraId="0497362F" w14:textId="77777777" w:rsidR="00FF4691" w:rsidRDefault="00FF4691" w:rsidP="00FF4691">
      <w:pPr>
        <w:rPr>
          <w:rFonts w:ascii="Century Gothic" w:hAnsi="Century Gothic"/>
          <w:sz w:val="21"/>
          <w:szCs w:val="21"/>
        </w:rPr>
      </w:pPr>
      <w:r>
        <w:rPr>
          <w:rFonts w:ascii="Century Gothic" w:hAnsi="Century Gothic"/>
          <w:sz w:val="21"/>
          <w:szCs w:val="21"/>
        </w:rPr>
        <w:t xml:space="preserve">Reports will be copyright of the Bushfire and Natural Hazards CRC and are intended to be made publicly available on the CRC’s website. </w:t>
      </w:r>
      <w:r w:rsidRPr="00FF4691">
        <w:rPr>
          <w:rFonts w:ascii="Century Gothic" w:hAnsi="Century Gothic"/>
          <w:sz w:val="21"/>
          <w:szCs w:val="21"/>
        </w:rPr>
        <w:t>All material in the report, unless otherwise specified, will be licensed under the Creative Commons Attribution-Non-Commercial 4.0 International Licence. I</w:t>
      </w:r>
      <w:r>
        <w:rPr>
          <w:rFonts w:ascii="Century Gothic" w:hAnsi="Century Gothic"/>
          <w:sz w:val="21"/>
          <w:szCs w:val="21"/>
        </w:rPr>
        <w:t xml:space="preserve">P relating to data collected will be owned by the </w:t>
      </w:r>
      <w:r>
        <w:rPr>
          <w:rFonts w:ascii="Century Gothic" w:hAnsi="Century Gothic"/>
          <w:sz w:val="21"/>
          <w:szCs w:val="21"/>
        </w:rPr>
        <w:lastRenderedPageBreak/>
        <w:t>research organisation completing the study, but should (if possible and appropriate) also be made available to other researchers interested in the event or area of study.</w:t>
      </w:r>
    </w:p>
    <w:p w14:paraId="380662FF" w14:textId="77777777" w:rsidR="00FF4691" w:rsidRPr="00D652E7" w:rsidRDefault="00FF4691" w:rsidP="00FF4691">
      <w:pPr>
        <w:rPr>
          <w:rFonts w:ascii="Century Gothic" w:hAnsi="Century Gothic"/>
          <w:sz w:val="21"/>
          <w:szCs w:val="21"/>
        </w:rPr>
      </w:pPr>
      <w:r w:rsidRPr="00D652E7">
        <w:rPr>
          <w:rFonts w:ascii="Century Gothic" w:hAnsi="Century Gothic"/>
          <w:sz w:val="21"/>
          <w:szCs w:val="21"/>
        </w:rPr>
        <w:t xml:space="preserve">For guidance on report style and content please refer to the report template on the </w:t>
      </w:r>
      <w:hyperlink r:id="rId13" w:history="1">
        <w:r w:rsidRPr="00D652E7">
          <w:rPr>
            <w:rStyle w:val="Hyperlink"/>
            <w:rFonts w:ascii="Century Gothic" w:hAnsi="Century Gothic"/>
            <w:sz w:val="21"/>
            <w:szCs w:val="21"/>
          </w:rPr>
          <w:t>CRC website</w:t>
        </w:r>
      </w:hyperlink>
      <w:r w:rsidRPr="00D652E7">
        <w:rPr>
          <w:rFonts w:ascii="Century Gothic" w:hAnsi="Century Gothic"/>
          <w:sz w:val="21"/>
          <w:szCs w:val="21"/>
        </w:rPr>
        <w:t>.</w:t>
      </w:r>
    </w:p>
    <w:p w14:paraId="302170B5" w14:textId="105633B2" w:rsidR="00E93377" w:rsidRDefault="00FF4691" w:rsidP="0014138D">
      <w:pPr>
        <w:rPr>
          <w:rFonts w:ascii="Century Gothic" w:hAnsi="Century Gothic"/>
          <w:sz w:val="21"/>
          <w:szCs w:val="21"/>
        </w:rPr>
        <w:sectPr w:rsidR="00E93377" w:rsidSect="00E93377">
          <w:type w:val="continuous"/>
          <w:pgSz w:w="11906" w:h="16838"/>
          <w:pgMar w:top="2410" w:right="1440" w:bottom="1440" w:left="1440" w:header="709" w:footer="567" w:gutter="0"/>
          <w:cols w:space="708"/>
          <w:titlePg/>
          <w:docGrid w:linePitch="360"/>
        </w:sectPr>
      </w:pPr>
      <w:r w:rsidRPr="00D652E7">
        <w:rPr>
          <w:rFonts w:ascii="Century Gothic" w:hAnsi="Century Gothic"/>
          <w:sz w:val="21"/>
          <w:szCs w:val="21"/>
        </w:rPr>
        <w:t xml:space="preserve">The CRC’s funding for quick response initiative was inspired by our partner organisation, the </w:t>
      </w:r>
      <w:hyperlink r:id="rId14" w:history="1">
        <w:r w:rsidRPr="00D652E7">
          <w:rPr>
            <w:rStyle w:val="Hyperlink"/>
            <w:rFonts w:ascii="Century Gothic" w:hAnsi="Century Gothic"/>
            <w:sz w:val="21"/>
            <w:szCs w:val="21"/>
          </w:rPr>
          <w:t>Natural Hazards Centre</w:t>
        </w:r>
      </w:hyperlink>
      <w:r w:rsidRPr="00D652E7">
        <w:rPr>
          <w:rFonts w:ascii="Century Gothic" w:hAnsi="Century Gothic"/>
          <w:sz w:val="21"/>
          <w:szCs w:val="21"/>
        </w:rPr>
        <w:t xml:space="preserve"> in Boulder, USA</w:t>
      </w:r>
      <w:r w:rsidR="00901505">
        <w:rPr>
          <w:rFonts w:ascii="Century Gothic" w:hAnsi="Century Gothic"/>
          <w:sz w:val="21"/>
          <w:szCs w:val="21"/>
        </w:rPr>
        <w:t>.</w:t>
      </w:r>
      <w:bookmarkStart w:id="0" w:name="_GoBack"/>
      <w:bookmarkEnd w:id="0"/>
    </w:p>
    <w:p w14:paraId="6A4BFE40" w14:textId="49253709" w:rsidR="00FF4691" w:rsidRDefault="00FF4691" w:rsidP="0014138D">
      <w:pPr>
        <w:rPr>
          <w:rFonts w:ascii="Century Gothic" w:hAnsi="Century Gothic"/>
          <w:sz w:val="21"/>
          <w:szCs w:val="21"/>
        </w:rPr>
      </w:pPr>
    </w:p>
    <w:sectPr w:rsidR="00FF4691" w:rsidSect="001472CB">
      <w:type w:val="continuous"/>
      <w:pgSz w:w="11906" w:h="16838"/>
      <w:pgMar w:top="2410" w:right="1440" w:bottom="1440" w:left="1440" w:header="709" w:footer="567"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42C53" w14:textId="77777777" w:rsidR="000C79F3" w:rsidRDefault="000C79F3" w:rsidP="000D0D72">
      <w:pPr>
        <w:spacing w:after="0" w:line="240" w:lineRule="auto"/>
      </w:pPr>
      <w:r>
        <w:separator/>
      </w:r>
    </w:p>
  </w:endnote>
  <w:endnote w:type="continuationSeparator" w:id="0">
    <w:p w14:paraId="65D06C38" w14:textId="77777777" w:rsidR="000C79F3" w:rsidRDefault="000C79F3" w:rsidP="000D0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ntony">
    <w:altName w:val="Calibri"/>
    <w:charset w:val="00"/>
    <w:family w:val="auto"/>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8595B"/>
      </w:rPr>
      <w:id w:val="2137830852"/>
      <w:docPartObj>
        <w:docPartGallery w:val="Page Numbers (Bottom of Page)"/>
        <w:docPartUnique/>
      </w:docPartObj>
    </w:sdtPr>
    <w:sdtEndPr>
      <w:rPr>
        <w:rFonts w:ascii="Century Gothic" w:hAnsi="Century Gothic"/>
        <w:noProof/>
        <w:sz w:val="20"/>
        <w:szCs w:val="20"/>
      </w:rPr>
    </w:sdtEndPr>
    <w:sdtContent>
      <w:p w14:paraId="78041E2D" w14:textId="581C5D00" w:rsidR="000F51B1" w:rsidRPr="00D40D98" w:rsidRDefault="000F51B1">
        <w:pPr>
          <w:pStyle w:val="Footer"/>
          <w:jc w:val="right"/>
          <w:rPr>
            <w:rFonts w:ascii="Century Gothic" w:hAnsi="Century Gothic"/>
            <w:color w:val="58595B"/>
            <w:sz w:val="20"/>
            <w:szCs w:val="20"/>
          </w:rPr>
        </w:pPr>
        <w:r w:rsidRPr="00D40D98">
          <w:rPr>
            <w:rFonts w:ascii="Century Gothic" w:hAnsi="Century Gothic"/>
            <w:color w:val="58595B"/>
            <w:sz w:val="20"/>
            <w:szCs w:val="20"/>
          </w:rPr>
          <w:fldChar w:fldCharType="begin"/>
        </w:r>
        <w:r w:rsidRPr="00D40D98">
          <w:rPr>
            <w:rFonts w:ascii="Century Gothic" w:hAnsi="Century Gothic"/>
            <w:color w:val="58595B"/>
            <w:sz w:val="20"/>
            <w:szCs w:val="20"/>
          </w:rPr>
          <w:instrText xml:space="preserve"> PAGE   \* MERGEFORMAT </w:instrText>
        </w:r>
        <w:r w:rsidRPr="00D40D98">
          <w:rPr>
            <w:rFonts w:ascii="Century Gothic" w:hAnsi="Century Gothic"/>
            <w:color w:val="58595B"/>
            <w:sz w:val="20"/>
            <w:szCs w:val="20"/>
          </w:rPr>
          <w:fldChar w:fldCharType="separate"/>
        </w:r>
        <w:r w:rsidR="00DF126D" w:rsidRPr="00D40D98">
          <w:rPr>
            <w:rFonts w:ascii="Century Gothic" w:hAnsi="Century Gothic"/>
            <w:noProof/>
            <w:color w:val="58595B"/>
            <w:sz w:val="20"/>
            <w:szCs w:val="20"/>
          </w:rPr>
          <w:t>1</w:t>
        </w:r>
        <w:r w:rsidRPr="00D40D98">
          <w:rPr>
            <w:rFonts w:ascii="Century Gothic" w:hAnsi="Century Gothic"/>
            <w:noProof/>
            <w:color w:val="58595B"/>
            <w:sz w:val="20"/>
            <w:szCs w:val="20"/>
          </w:rPr>
          <w:fldChar w:fldCharType="end"/>
        </w:r>
      </w:p>
    </w:sdtContent>
  </w:sdt>
  <w:p w14:paraId="25F04B41" w14:textId="77777777" w:rsidR="000F51B1" w:rsidRPr="00D40D98" w:rsidRDefault="000F51B1">
    <w:pPr>
      <w:pStyle w:val="Footer"/>
      <w:rPr>
        <w:color w:val="58595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rPr>
      <w:id w:val="2109385186"/>
      <w:docPartObj>
        <w:docPartGallery w:val="Page Numbers (Bottom of Page)"/>
        <w:docPartUnique/>
      </w:docPartObj>
    </w:sdtPr>
    <w:sdtEndPr>
      <w:rPr>
        <w:noProof/>
        <w:color w:val="58595B"/>
        <w:sz w:val="20"/>
        <w:szCs w:val="20"/>
      </w:rPr>
    </w:sdtEndPr>
    <w:sdtContent>
      <w:p w14:paraId="445BE848" w14:textId="59FA15CC" w:rsidR="00BA04E1" w:rsidRPr="00D40D98" w:rsidRDefault="00BA04E1">
        <w:pPr>
          <w:pStyle w:val="Footer"/>
          <w:jc w:val="right"/>
          <w:rPr>
            <w:rFonts w:ascii="Century Gothic" w:hAnsi="Century Gothic"/>
            <w:color w:val="58595B"/>
            <w:sz w:val="20"/>
            <w:szCs w:val="20"/>
          </w:rPr>
        </w:pPr>
        <w:r w:rsidRPr="00D40D98">
          <w:rPr>
            <w:rFonts w:ascii="Century Gothic" w:hAnsi="Century Gothic"/>
            <w:color w:val="58595B"/>
            <w:sz w:val="20"/>
            <w:szCs w:val="20"/>
          </w:rPr>
          <w:fldChar w:fldCharType="begin"/>
        </w:r>
        <w:r w:rsidRPr="00D40D98">
          <w:rPr>
            <w:rFonts w:ascii="Century Gothic" w:hAnsi="Century Gothic"/>
            <w:color w:val="58595B"/>
            <w:sz w:val="20"/>
            <w:szCs w:val="20"/>
          </w:rPr>
          <w:instrText xml:space="preserve"> PAGE   \* MERGEFORMAT </w:instrText>
        </w:r>
        <w:r w:rsidRPr="00D40D98">
          <w:rPr>
            <w:rFonts w:ascii="Century Gothic" w:hAnsi="Century Gothic"/>
            <w:color w:val="58595B"/>
            <w:sz w:val="20"/>
            <w:szCs w:val="20"/>
          </w:rPr>
          <w:fldChar w:fldCharType="separate"/>
        </w:r>
        <w:r w:rsidRPr="00D40D98">
          <w:rPr>
            <w:rFonts w:ascii="Century Gothic" w:hAnsi="Century Gothic"/>
            <w:noProof/>
            <w:color w:val="58595B"/>
            <w:sz w:val="20"/>
            <w:szCs w:val="20"/>
          </w:rPr>
          <w:t>2</w:t>
        </w:r>
        <w:r w:rsidRPr="00D40D98">
          <w:rPr>
            <w:rFonts w:ascii="Century Gothic" w:hAnsi="Century Gothic"/>
            <w:noProof/>
            <w:color w:val="58595B"/>
            <w:sz w:val="20"/>
            <w:szCs w:val="20"/>
          </w:rPr>
          <w:fldChar w:fldCharType="end"/>
        </w:r>
      </w:p>
    </w:sdtContent>
  </w:sdt>
  <w:p w14:paraId="21C148AB" w14:textId="77777777" w:rsidR="00BA04E1" w:rsidRPr="00D40D98" w:rsidRDefault="00BA04E1">
    <w:pPr>
      <w:pStyle w:val="Footer"/>
      <w:rPr>
        <w:rFonts w:ascii="Century Gothic" w:hAnsi="Century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114B5" w14:textId="77777777" w:rsidR="000C79F3" w:rsidRDefault="000C79F3" w:rsidP="000D0D72">
      <w:pPr>
        <w:spacing w:after="0" w:line="240" w:lineRule="auto"/>
      </w:pPr>
      <w:r>
        <w:separator/>
      </w:r>
    </w:p>
  </w:footnote>
  <w:footnote w:type="continuationSeparator" w:id="0">
    <w:p w14:paraId="27EDC3F6" w14:textId="77777777" w:rsidR="000C79F3" w:rsidRDefault="000C79F3" w:rsidP="000D0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994AA" w14:textId="0FEBF5C7" w:rsidR="000F51B1" w:rsidRDefault="0081348D">
    <w:pPr>
      <w:pStyle w:val="Header"/>
    </w:pPr>
    <w:r>
      <w:rPr>
        <w:rFonts w:hint="eastAsia"/>
        <w:noProof/>
        <w:lang w:val="en-US"/>
      </w:rPr>
      <w:drawing>
        <wp:anchor distT="0" distB="0" distL="114300" distR="114300" simplePos="0" relativeHeight="251663360" behindDoc="1" locked="0" layoutInCell="1" allowOverlap="1" wp14:anchorId="6A409201" wp14:editId="3E4127C3">
          <wp:simplePos x="0" y="0"/>
          <wp:positionH relativeFrom="page">
            <wp:posOffset>7529</wp:posOffset>
          </wp:positionH>
          <wp:positionV relativeFrom="page">
            <wp:posOffset>0</wp:posOffset>
          </wp:positionV>
          <wp:extent cx="7580382" cy="10722572"/>
          <wp:effectExtent l="0" t="0" r="1905" b="317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37_Letterhead_1.jpg"/>
                  <pic:cNvPicPr/>
                </pic:nvPicPr>
                <pic:blipFill>
                  <a:blip r:embed="rId1">
                    <a:extLst>
                      <a:ext uri="{28A0092B-C50C-407E-A947-70E740481C1C}">
                        <a14:useLocalDpi xmlns:a14="http://schemas.microsoft.com/office/drawing/2010/main" val="0"/>
                      </a:ext>
                    </a:extLst>
                  </a:blip>
                  <a:stretch>
                    <a:fillRect/>
                  </a:stretch>
                </pic:blipFill>
                <pic:spPr>
                  <a:xfrm>
                    <a:off x="0" y="0"/>
                    <a:ext cx="7580382" cy="1072257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9DDBB" w14:textId="7DC345B4" w:rsidR="00BA04E1" w:rsidRDefault="00BA04E1">
    <w:pPr>
      <w:pStyle w:val="Header"/>
    </w:pPr>
    <w:r>
      <w:rPr>
        <w:rFonts w:hint="eastAsia"/>
        <w:noProof/>
        <w:lang w:val="en-US"/>
      </w:rPr>
      <w:drawing>
        <wp:anchor distT="0" distB="0" distL="114300" distR="114300" simplePos="0" relativeHeight="251661312" behindDoc="1" locked="0" layoutInCell="1" allowOverlap="1" wp14:anchorId="4755F8C3" wp14:editId="5EE31C7B">
          <wp:simplePos x="0" y="0"/>
          <wp:positionH relativeFrom="page">
            <wp:posOffset>7529</wp:posOffset>
          </wp:positionH>
          <wp:positionV relativeFrom="page">
            <wp:posOffset>0</wp:posOffset>
          </wp:positionV>
          <wp:extent cx="7580382" cy="10722573"/>
          <wp:effectExtent l="0" t="0" r="190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37_Letterhead_1.jpg"/>
                  <pic:cNvPicPr/>
                </pic:nvPicPr>
                <pic:blipFill>
                  <a:blip r:embed="rId1">
                    <a:extLst>
                      <a:ext uri="{28A0092B-C50C-407E-A947-70E740481C1C}">
                        <a14:useLocalDpi xmlns:a14="http://schemas.microsoft.com/office/drawing/2010/main" val="0"/>
                      </a:ext>
                    </a:extLst>
                  </a:blip>
                  <a:stretch>
                    <a:fillRect/>
                  </a:stretch>
                </pic:blipFill>
                <pic:spPr>
                  <a:xfrm>
                    <a:off x="0" y="0"/>
                    <a:ext cx="7580382" cy="1072257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936CC"/>
    <w:multiLevelType w:val="multilevel"/>
    <w:tmpl w:val="02BC24A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5EF2F16"/>
    <w:multiLevelType w:val="hybridMultilevel"/>
    <w:tmpl w:val="329E5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C47BD2"/>
    <w:multiLevelType w:val="hybridMultilevel"/>
    <w:tmpl w:val="F86293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56A4F10"/>
    <w:multiLevelType w:val="hybridMultilevel"/>
    <w:tmpl w:val="AD18E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6D3502"/>
    <w:multiLevelType w:val="hybridMultilevel"/>
    <w:tmpl w:val="136EBF36"/>
    <w:lvl w:ilvl="0" w:tplc="36A82BAE">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6E7B42"/>
    <w:multiLevelType w:val="hybridMultilevel"/>
    <w:tmpl w:val="2B12CB8C"/>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6" w15:restartNumberingAfterBreak="0">
    <w:nsid w:val="4B681012"/>
    <w:multiLevelType w:val="hybridMultilevel"/>
    <w:tmpl w:val="773E1B50"/>
    <w:lvl w:ilvl="0" w:tplc="3C561A2C">
      <w:numFmt w:val="bullet"/>
      <w:lvlText w:val=""/>
      <w:lvlJc w:val="left"/>
      <w:pPr>
        <w:ind w:left="837" w:hanging="361"/>
      </w:pPr>
      <w:rPr>
        <w:rFonts w:ascii="Symbol" w:eastAsia="Symbol" w:hAnsi="Symbol" w:cs="Symbol" w:hint="default"/>
        <w:w w:val="100"/>
        <w:sz w:val="22"/>
        <w:szCs w:val="22"/>
        <w:lang w:val="en-AU" w:eastAsia="en-AU" w:bidi="en-AU"/>
      </w:rPr>
    </w:lvl>
    <w:lvl w:ilvl="1" w:tplc="4C9C94A4">
      <w:numFmt w:val="bullet"/>
      <w:lvlText w:val="•"/>
      <w:lvlJc w:val="left"/>
      <w:pPr>
        <w:ind w:left="1774" w:hanging="361"/>
      </w:pPr>
      <w:rPr>
        <w:rFonts w:hint="default"/>
        <w:lang w:val="en-AU" w:eastAsia="en-AU" w:bidi="en-AU"/>
      </w:rPr>
    </w:lvl>
    <w:lvl w:ilvl="2" w:tplc="D20238CC">
      <w:numFmt w:val="bullet"/>
      <w:lvlText w:val="•"/>
      <w:lvlJc w:val="left"/>
      <w:pPr>
        <w:ind w:left="2708" w:hanging="361"/>
      </w:pPr>
      <w:rPr>
        <w:rFonts w:hint="default"/>
        <w:lang w:val="en-AU" w:eastAsia="en-AU" w:bidi="en-AU"/>
      </w:rPr>
    </w:lvl>
    <w:lvl w:ilvl="3" w:tplc="507639CA">
      <w:numFmt w:val="bullet"/>
      <w:lvlText w:val="•"/>
      <w:lvlJc w:val="left"/>
      <w:pPr>
        <w:ind w:left="3643" w:hanging="361"/>
      </w:pPr>
      <w:rPr>
        <w:rFonts w:hint="default"/>
        <w:lang w:val="en-AU" w:eastAsia="en-AU" w:bidi="en-AU"/>
      </w:rPr>
    </w:lvl>
    <w:lvl w:ilvl="4" w:tplc="8262611E">
      <w:numFmt w:val="bullet"/>
      <w:lvlText w:val="•"/>
      <w:lvlJc w:val="left"/>
      <w:pPr>
        <w:ind w:left="4577" w:hanging="361"/>
      </w:pPr>
      <w:rPr>
        <w:rFonts w:hint="default"/>
        <w:lang w:val="en-AU" w:eastAsia="en-AU" w:bidi="en-AU"/>
      </w:rPr>
    </w:lvl>
    <w:lvl w:ilvl="5" w:tplc="4132AD20">
      <w:numFmt w:val="bullet"/>
      <w:lvlText w:val="•"/>
      <w:lvlJc w:val="left"/>
      <w:pPr>
        <w:ind w:left="5512" w:hanging="361"/>
      </w:pPr>
      <w:rPr>
        <w:rFonts w:hint="default"/>
        <w:lang w:val="en-AU" w:eastAsia="en-AU" w:bidi="en-AU"/>
      </w:rPr>
    </w:lvl>
    <w:lvl w:ilvl="6" w:tplc="44BC579E">
      <w:numFmt w:val="bullet"/>
      <w:lvlText w:val="•"/>
      <w:lvlJc w:val="left"/>
      <w:pPr>
        <w:ind w:left="6446" w:hanging="361"/>
      </w:pPr>
      <w:rPr>
        <w:rFonts w:hint="default"/>
        <w:lang w:val="en-AU" w:eastAsia="en-AU" w:bidi="en-AU"/>
      </w:rPr>
    </w:lvl>
    <w:lvl w:ilvl="7" w:tplc="D40C8938">
      <w:numFmt w:val="bullet"/>
      <w:lvlText w:val="•"/>
      <w:lvlJc w:val="left"/>
      <w:pPr>
        <w:ind w:left="7380" w:hanging="361"/>
      </w:pPr>
      <w:rPr>
        <w:rFonts w:hint="default"/>
        <w:lang w:val="en-AU" w:eastAsia="en-AU" w:bidi="en-AU"/>
      </w:rPr>
    </w:lvl>
    <w:lvl w:ilvl="8" w:tplc="9AB8EE66">
      <w:numFmt w:val="bullet"/>
      <w:lvlText w:val="•"/>
      <w:lvlJc w:val="left"/>
      <w:pPr>
        <w:ind w:left="8315" w:hanging="361"/>
      </w:pPr>
      <w:rPr>
        <w:rFonts w:hint="default"/>
        <w:lang w:val="en-AU" w:eastAsia="en-AU" w:bidi="en-AU"/>
      </w:rPr>
    </w:lvl>
  </w:abstractNum>
  <w:abstractNum w:abstractNumId="7" w15:restartNumberingAfterBreak="0">
    <w:nsid w:val="4D504726"/>
    <w:multiLevelType w:val="hybridMultilevel"/>
    <w:tmpl w:val="80803088"/>
    <w:lvl w:ilvl="0" w:tplc="CA10524C">
      <w:numFmt w:val="bullet"/>
      <w:lvlText w:val="•"/>
      <w:lvlJc w:val="left"/>
      <w:pPr>
        <w:ind w:left="360" w:hanging="360"/>
      </w:pPr>
      <w:rPr>
        <w:rFonts w:ascii="Century Gothic" w:eastAsiaTheme="minorHAnsi" w:hAnsi="Century Gothic"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357443E"/>
    <w:multiLevelType w:val="hybridMultilevel"/>
    <w:tmpl w:val="86586C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70BF1FD5"/>
    <w:multiLevelType w:val="hybridMultilevel"/>
    <w:tmpl w:val="C29666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E085B3C"/>
    <w:multiLevelType w:val="hybridMultilevel"/>
    <w:tmpl w:val="A4443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FED08DF"/>
    <w:multiLevelType w:val="hybridMultilevel"/>
    <w:tmpl w:val="C1D0BF8E"/>
    <w:lvl w:ilvl="0" w:tplc="B50297AA">
      <w:numFmt w:val="bullet"/>
      <w:lvlText w:val="·"/>
      <w:lvlJc w:val="left"/>
      <w:pPr>
        <w:ind w:left="720" w:hanging="720"/>
      </w:pPr>
      <w:rPr>
        <w:rFonts w:ascii="Century Gothic" w:eastAsiaTheme="minorHAnsi" w:hAnsi="Century Gothic"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4"/>
  </w:num>
  <w:num w:numId="8">
    <w:abstractNumId w:val="5"/>
  </w:num>
  <w:num w:numId="9">
    <w:abstractNumId w:val="9"/>
  </w:num>
  <w:num w:numId="10">
    <w:abstractNumId w:val="10"/>
  </w:num>
  <w:num w:numId="11">
    <w:abstractNumId w:val="7"/>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D72"/>
    <w:rsid w:val="000577BC"/>
    <w:rsid w:val="000C79F3"/>
    <w:rsid w:val="000D0D72"/>
    <w:rsid w:val="000F51B1"/>
    <w:rsid w:val="00133F6E"/>
    <w:rsid w:val="0014138D"/>
    <w:rsid w:val="001472CB"/>
    <w:rsid w:val="00267116"/>
    <w:rsid w:val="00283BED"/>
    <w:rsid w:val="00291DB2"/>
    <w:rsid w:val="00307257"/>
    <w:rsid w:val="003435A7"/>
    <w:rsid w:val="00384711"/>
    <w:rsid w:val="0039020E"/>
    <w:rsid w:val="003961E4"/>
    <w:rsid w:val="003E6506"/>
    <w:rsid w:val="004F066A"/>
    <w:rsid w:val="00502947"/>
    <w:rsid w:val="00597100"/>
    <w:rsid w:val="005E4BA9"/>
    <w:rsid w:val="005E5B17"/>
    <w:rsid w:val="0060359F"/>
    <w:rsid w:val="006265DA"/>
    <w:rsid w:val="006501A2"/>
    <w:rsid w:val="00652490"/>
    <w:rsid w:val="0068454B"/>
    <w:rsid w:val="006F293D"/>
    <w:rsid w:val="0070688A"/>
    <w:rsid w:val="00785700"/>
    <w:rsid w:val="007B349D"/>
    <w:rsid w:val="007C492A"/>
    <w:rsid w:val="0081348D"/>
    <w:rsid w:val="00842E06"/>
    <w:rsid w:val="008A12CC"/>
    <w:rsid w:val="008B0D5B"/>
    <w:rsid w:val="008C0158"/>
    <w:rsid w:val="008C6418"/>
    <w:rsid w:val="00901505"/>
    <w:rsid w:val="00907541"/>
    <w:rsid w:val="0091037A"/>
    <w:rsid w:val="009163B1"/>
    <w:rsid w:val="0093726A"/>
    <w:rsid w:val="0097411B"/>
    <w:rsid w:val="00974FD9"/>
    <w:rsid w:val="009D09A5"/>
    <w:rsid w:val="009F3870"/>
    <w:rsid w:val="00A67B35"/>
    <w:rsid w:val="00AD5E9C"/>
    <w:rsid w:val="00B04DC1"/>
    <w:rsid w:val="00B06FC7"/>
    <w:rsid w:val="00B229AB"/>
    <w:rsid w:val="00B45DAD"/>
    <w:rsid w:val="00B62848"/>
    <w:rsid w:val="00BA04E1"/>
    <w:rsid w:val="00BF667C"/>
    <w:rsid w:val="00C00833"/>
    <w:rsid w:val="00C07524"/>
    <w:rsid w:val="00C17285"/>
    <w:rsid w:val="00C17D6A"/>
    <w:rsid w:val="00CA09A2"/>
    <w:rsid w:val="00CD3A42"/>
    <w:rsid w:val="00CF78DE"/>
    <w:rsid w:val="00D07C6F"/>
    <w:rsid w:val="00D23087"/>
    <w:rsid w:val="00D23F7E"/>
    <w:rsid w:val="00D25132"/>
    <w:rsid w:val="00D40D98"/>
    <w:rsid w:val="00D461F0"/>
    <w:rsid w:val="00D652E7"/>
    <w:rsid w:val="00D67061"/>
    <w:rsid w:val="00D76C6A"/>
    <w:rsid w:val="00DB108E"/>
    <w:rsid w:val="00DE4B60"/>
    <w:rsid w:val="00DF126D"/>
    <w:rsid w:val="00E0077B"/>
    <w:rsid w:val="00E91858"/>
    <w:rsid w:val="00E93377"/>
    <w:rsid w:val="00E97A63"/>
    <w:rsid w:val="00EB258D"/>
    <w:rsid w:val="00EC2B61"/>
    <w:rsid w:val="00EC6126"/>
    <w:rsid w:val="00EF0C35"/>
    <w:rsid w:val="00F37EA5"/>
    <w:rsid w:val="00F6451E"/>
    <w:rsid w:val="00F76D5B"/>
    <w:rsid w:val="00FB0F15"/>
    <w:rsid w:val="00FF46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1181C8"/>
  <w15:chartTrackingRefBased/>
  <w15:docId w15:val="{61045491-7DCF-47A4-88AA-8952A992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D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918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EF0C35"/>
    <w:pPr>
      <w:outlineLvl w:val="3"/>
    </w:pPr>
    <w:rPr>
      <w:rFonts w:ascii="Century Gothic" w:hAnsi="Century Gothic"/>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D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D72"/>
  </w:style>
  <w:style w:type="paragraph" w:styleId="Footer">
    <w:name w:val="footer"/>
    <w:basedOn w:val="Normal"/>
    <w:link w:val="FooterChar"/>
    <w:uiPriority w:val="99"/>
    <w:unhideWhenUsed/>
    <w:rsid w:val="000D0D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D72"/>
  </w:style>
  <w:style w:type="paragraph" w:styleId="BalloonText">
    <w:name w:val="Balloon Text"/>
    <w:basedOn w:val="Normal"/>
    <w:link w:val="BalloonTextChar"/>
    <w:uiPriority w:val="99"/>
    <w:semiHidden/>
    <w:unhideWhenUsed/>
    <w:rsid w:val="00D46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1F0"/>
    <w:rPr>
      <w:rFonts w:ascii="Segoe UI" w:hAnsi="Segoe UI" w:cs="Segoe UI"/>
      <w:sz w:val="18"/>
      <w:szCs w:val="18"/>
    </w:rPr>
  </w:style>
  <w:style w:type="character" w:styleId="Hyperlink">
    <w:name w:val="Hyperlink"/>
    <w:basedOn w:val="DefaultParagraphFont"/>
    <w:uiPriority w:val="99"/>
    <w:unhideWhenUsed/>
    <w:rsid w:val="00F37EA5"/>
    <w:rPr>
      <w:color w:val="0563C1" w:themeColor="hyperlink"/>
      <w:u w:val="single"/>
    </w:rPr>
  </w:style>
  <w:style w:type="paragraph" w:styleId="ListParagraph">
    <w:name w:val="List Paragraph"/>
    <w:basedOn w:val="Normal"/>
    <w:uiPriority w:val="1"/>
    <w:qFormat/>
    <w:rsid w:val="00133F6E"/>
    <w:pPr>
      <w:ind w:left="720"/>
      <w:contextualSpacing/>
    </w:pPr>
  </w:style>
  <w:style w:type="paragraph" w:styleId="NormalWeb">
    <w:name w:val="Normal (Web)"/>
    <w:basedOn w:val="Normal"/>
    <w:uiPriority w:val="99"/>
    <w:unhideWhenUsed/>
    <w:rsid w:val="00EF0C3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
    <w:rsid w:val="00EF0C35"/>
    <w:rPr>
      <w:rFonts w:ascii="Century Gothic" w:hAnsi="Century Gothic"/>
      <w:b/>
      <w:sz w:val="24"/>
      <w:szCs w:val="24"/>
    </w:rPr>
  </w:style>
  <w:style w:type="character" w:customStyle="1" w:styleId="Heading1Char">
    <w:name w:val="Heading 1 Char"/>
    <w:basedOn w:val="DefaultParagraphFont"/>
    <w:link w:val="Heading1"/>
    <w:uiPriority w:val="9"/>
    <w:rsid w:val="00B04DC1"/>
    <w:rPr>
      <w:rFonts w:asciiTheme="majorHAnsi" w:eastAsiaTheme="majorEastAsia" w:hAnsiTheme="majorHAnsi" w:cstheme="majorBidi"/>
      <w:color w:val="2F5496" w:themeColor="accent1" w:themeShade="BF"/>
      <w:sz w:val="32"/>
      <w:szCs w:val="32"/>
    </w:rPr>
  </w:style>
  <w:style w:type="table" w:styleId="PlainTable2">
    <w:name w:val="Plain Table 2"/>
    <w:basedOn w:val="TableNormal"/>
    <w:uiPriority w:val="42"/>
    <w:rsid w:val="006501A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6501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CF78D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
    <w:name w:val="Table Grid"/>
    <w:basedOn w:val="TableNormal"/>
    <w:uiPriority w:val="39"/>
    <w:rsid w:val="00283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283BE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14138D"/>
    <w:rPr>
      <w:color w:val="605E5C"/>
      <w:shd w:val="clear" w:color="auto" w:fill="E1DFDD"/>
    </w:rPr>
  </w:style>
  <w:style w:type="character" w:customStyle="1" w:styleId="Heading2Char">
    <w:name w:val="Heading 2 Char"/>
    <w:basedOn w:val="DefaultParagraphFont"/>
    <w:link w:val="Heading2"/>
    <w:uiPriority w:val="9"/>
    <w:semiHidden/>
    <w:rsid w:val="00E91858"/>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E91858"/>
    <w:pPr>
      <w:widowControl w:val="0"/>
      <w:autoSpaceDE w:val="0"/>
      <w:autoSpaceDN w:val="0"/>
      <w:spacing w:after="0" w:line="240" w:lineRule="auto"/>
    </w:pPr>
    <w:rPr>
      <w:rFonts w:ascii="Calibri" w:eastAsia="Calibri" w:hAnsi="Calibri" w:cs="Calibri"/>
      <w:lang w:eastAsia="en-AU" w:bidi="en-AU"/>
    </w:rPr>
  </w:style>
  <w:style w:type="character" w:customStyle="1" w:styleId="BodyTextChar">
    <w:name w:val="Body Text Char"/>
    <w:basedOn w:val="DefaultParagraphFont"/>
    <w:link w:val="BodyText"/>
    <w:uiPriority w:val="1"/>
    <w:rsid w:val="00E91858"/>
    <w:rPr>
      <w:rFonts w:ascii="Calibri" w:eastAsia="Calibri" w:hAnsi="Calibri" w:cs="Calibri"/>
      <w:lang w:eastAsia="en-AU" w:bidi="en-AU"/>
    </w:rPr>
  </w:style>
  <w:style w:type="character" w:styleId="FollowedHyperlink">
    <w:name w:val="FollowedHyperlink"/>
    <w:basedOn w:val="DefaultParagraphFont"/>
    <w:uiPriority w:val="99"/>
    <w:semiHidden/>
    <w:unhideWhenUsed/>
    <w:rsid w:val="00CD3A42"/>
    <w:rPr>
      <w:color w:val="954F72" w:themeColor="followedHyperlink"/>
      <w:u w:val="single"/>
    </w:rPr>
  </w:style>
  <w:style w:type="character" w:styleId="CommentReference">
    <w:name w:val="annotation reference"/>
    <w:basedOn w:val="DefaultParagraphFont"/>
    <w:uiPriority w:val="99"/>
    <w:semiHidden/>
    <w:unhideWhenUsed/>
    <w:rsid w:val="0068454B"/>
    <w:rPr>
      <w:sz w:val="16"/>
      <w:szCs w:val="16"/>
    </w:rPr>
  </w:style>
  <w:style w:type="paragraph" w:styleId="CommentText">
    <w:name w:val="annotation text"/>
    <w:basedOn w:val="Normal"/>
    <w:link w:val="CommentTextChar"/>
    <w:uiPriority w:val="99"/>
    <w:semiHidden/>
    <w:unhideWhenUsed/>
    <w:rsid w:val="0068454B"/>
    <w:pPr>
      <w:spacing w:line="240" w:lineRule="auto"/>
    </w:pPr>
    <w:rPr>
      <w:sz w:val="20"/>
      <w:szCs w:val="20"/>
    </w:rPr>
  </w:style>
  <w:style w:type="character" w:customStyle="1" w:styleId="CommentTextChar">
    <w:name w:val="Comment Text Char"/>
    <w:basedOn w:val="DefaultParagraphFont"/>
    <w:link w:val="CommentText"/>
    <w:uiPriority w:val="99"/>
    <w:semiHidden/>
    <w:rsid w:val="0068454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797129">
      <w:bodyDiv w:val="1"/>
      <w:marLeft w:val="0"/>
      <w:marRight w:val="0"/>
      <w:marTop w:val="0"/>
      <w:marBottom w:val="0"/>
      <w:divBdr>
        <w:top w:val="none" w:sz="0" w:space="0" w:color="auto"/>
        <w:left w:val="none" w:sz="0" w:space="0" w:color="auto"/>
        <w:bottom w:val="none" w:sz="0" w:space="0" w:color="auto"/>
        <w:right w:val="none" w:sz="0" w:space="0" w:color="auto"/>
      </w:divBdr>
    </w:div>
    <w:div w:id="1301038731">
      <w:bodyDiv w:val="1"/>
      <w:marLeft w:val="0"/>
      <w:marRight w:val="0"/>
      <w:marTop w:val="0"/>
      <w:marBottom w:val="0"/>
      <w:divBdr>
        <w:top w:val="none" w:sz="0" w:space="0" w:color="auto"/>
        <w:left w:val="none" w:sz="0" w:space="0" w:color="auto"/>
        <w:bottom w:val="none" w:sz="0" w:space="0" w:color="auto"/>
        <w:right w:val="none" w:sz="0" w:space="0" w:color="auto"/>
      </w:divBdr>
    </w:div>
    <w:div w:id="166241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nhcrc.com.au/research/quick-response-fund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nhcrc.com.au/research/quick-response-fund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hazards.colorado.edu/research/quick-response-report/archiv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5146C-0BD8-4DC5-9A22-932FF08D4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 Harris</dc:creator>
  <cp:keywords/>
  <dc:description/>
  <cp:lastModifiedBy>Radhiya Fanham</cp:lastModifiedBy>
  <cp:revision>11</cp:revision>
  <cp:lastPrinted>2018-02-28T04:53:00Z</cp:lastPrinted>
  <dcterms:created xsi:type="dcterms:W3CDTF">2020-02-11T04:19:00Z</dcterms:created>
  <dcterms:modified xsi:type="dcterms:W3CDTF">2020-05-06T00:41:00Z</dcterms:modified>
</cp:coreProperties>
</file>